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446F9D" w:rsidRDefault="00F618ED" w:rsidP="00F618ED">
      <w:pPr>
        <w:pStyle w:val="Header"/>
        <w:tabs>
          <w:tab w:val="clear" w:pos="4536"/>
        </w:tabs>
        <w:rPr>
          <w:i/>
        </w:rPr>
      </w:pPr>
      <w:r w:rsidRPr="00446F9D">
        <w:t xml:space="preserve">TSG-RAN WG1 </w:t>
      </w:r>
      <w:r w:rsidR="00802FBE">
        <w:t>#9</w:t>
      </w:r>
      <w:r w:rsidR="002829F5">
        <w:t>1</w:t>
      </w:r>
      <w:r w:rsidRPr="00446F9D">
        <w:tab/>
      </w:r>
      <w:bookmarkStart w:id="0" w:name="_GoBack"/>
      <w:r w:rsidR="004900B0">
        <w:t>R1-</w:t>
      </w:r>
      <w:r w:rsidR="00D65D38">
        <w:t>172</w:t>
      </w:r>
      <w:r w:rsidR="0016633A">
        <w:t>1426</w:t>
      </w:r>
      <w:bookmarkEnd w:id="0"/>
    </w:p>
    <w:p w:rsidR="00F618ED" w:rsidRPr="000833FA" w:rsidRDefault="002829F5" w:rsidP="00F618ED">
      <w:pPr>
        <w:pStyle w:val="Header"/>
        <w:rPr>
          <w:color w:val="000000"/>
        </w:rPr>
      </w:pPr>
      <w:r>
        <w:t>Reno, NV, US,</w:t>
      </w:r>
      <w:r w:rsidR="00802FBE">
        <w:t xml:space="preserve"> </w:t>
      </w:r>
      <w:r>
        <w:t>November 27 – December 1</w:t>
      </w:r>
      <w:r w:rsidR="00802FBE">
        <w:t>,</w:t>
      </w:r>
      <w:r w:rsidR="0063517D">
        <w:t xml:space="preserve"> 2017</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7A4FC3">
        <w:t>Summary of e-mail discussion on</w:t>
      </w:r>
      <w:r w:rsidR="002829F5">
        <w:t xml:space="preserve"> </w:t>
      </w:r>
      <w:r w:rsidR="000F6662" w:rsidRPr="000F6662">
        <w:t>90b-NR-25</w:t>
      </w:r>
      <w:r w:rsidR="000F6662">
        <w:t xml:space="preserve">, </w:t>
      </w:r>
      <w:r w:rsidR="00365BA9" w:rsidRPr="00365BA9">
        <w:t>DCI content</w:t>
      </w:r>
    </w:p>
    <w:p w:rsidR="00F618ED" w:rsidRPr="00E220C0" w:rsidRDefault="00F618ED" w:rsidP="00F618ED">
      <w:pPr>
        <w:pStyle w:val="Header"/>
        <w:tabs>
          <w:tab w:val="left" w:pos="1800"/>
        </w:tabs>
      </w:pPr>
      <w:r w:rsidRPr="00E220C0">
        <w:t>Agenda Item:</w:t>
      </w:r>
      <w:bookmarkStart w:id="2" w:name="Source"/>
      <w:bookmarkEnd w:id="2"/>
      <w:r w:rsidRPr="00E220C0">
        <w:tab/>
      </w:r>
      <w:r w:rsidR="004E3043">
        <w:t>7.3.1.4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0F6662" w:rsidRDefault="000F6662" w:rsidP="00802FBE">
      <w:pPr>
        <w:pStyle w:val="BodyText"/>
      </w:pPr>
      <w:r>
        <w:t>In the attached excel sheet, an attempt to summarize the DCI content as well as to split it into different formats (‘fallback’ and ‘general’) is provided.</w:t>
      </w:r>
      <w:r w:rsidR="000F5C39">
        <w:t xml:space="preserve"> Some general parameters can be set on the ‘Summary’ tab which will affect some of the fields in the different DCI formats.</w:t>
      </w:r>
    </w:p>
    <w:p w:rsidR="000F5C39" w:rsidRDefault="000F5C39" w:rsidP="00802FBE">
      <w:pPr>
        <w:pStyle w:val="BodyText"/>
      </w:pPr>
      <w:r>
        <w:t xml:space="preserve">The fields in the excel sheet is to a large extent based on the agreements in previous RAN1 meetings. For some fields, a bit size </w:t>
      </w:r>
      <w:r w:rsidR="0085020E">
        <w:t xml:space="preserve">has been included </w:t>
      </w:r>
      <w:r>
        <w:t xml:space="preserve">even if it is not yet agreed </w:t>
      </w:r>
      <w:proofErr w:type="gramStart"/>
      <w:r>
        <w:t>in order to</w:t>
      </w:r>
      <w:proofErr w:type="gramEnd"/>
      <w:r>
        <w:t xml:space="preserve"> get a feeling for the total DCI size. </w:t>
      </w:r>
      <w:r w:rsidR="0085020E">
        <w:t xml:space="preserve">Those cases are (hopefully) </w:t>
      </w:r>
      <w:r>
        <w:t>color</w:t>
      </w:r>
      <w:r w:rsidR="0085020E">
        <w:t>ed</w:t>
      </w:r>
      <w:r>
        <w:t xml:space="preserve"> in red.</w:t>
      </w:r>
    </w:p>
    <w:p w:rsidR="000F5C39" w:rsidRDefault="000F5C39" w:rsidP="000F5C39">
      <w:pPr>
        <w:pStyle w:val="Heading1"/>
      </w:pPr>
      <w:r>
        <w:t>DCI sizes</w:t>
      </w:r>
      <w:r w:rsidR="00AB1512">
        <w:t xml:space="preserve"> and header</w:t>
      </w:r>
    </w:p>
    <w:p w:rsidR="000F5C39" w:rsidRDefault="00AB1512" w:rsidP="000F5C39">
      <w:pPr>
        <w:pStyle w:val="BodyText"/>
      </w:pPr>
      <w:r>
        <w:t xml:space="preserve">At the RAN1 NR </w:t>
      </w:r>
      <w:proofErr w:type="spellStart"/>
      <w:r>
        <w:t>AdHoc</w:t>
      </w:r>
      <w:proofErr w:type="spellEnd"/>
      <w:r>
        <w:t xml:space="preserve"> #3 it was agreed to have at least two DCI sizes, one size used (among other) to support a “fallback” DCI during RRC reconfiguration, and one size which depends on RRC configuration. There is also an agreement from RAN1#90bis stating that “f</w:t>
      </w:r>
      <w:r w:rsidRPr="00AB1512">
        <w:t>or multiple DCI formats with the same DCI size of a same RNTI, an explicit identifier is included in the respective DCI format to distinguish them</w:t>
      </w:r>
      <w:r>
        <w:t xml:space="preserve">”. </w:t>
      </w:r>
      <w:r w:rsidR="000F5C39">
        <w:t>In the excel sheet the</w:t>
      </w:r>
      <w:r>
        <w:t>se agreements</w:t>
      </w:r>
      <w:r w:rsidR="000F5C39">
        <w:t xml:space="preserve"> were ‘implemented’ such that there are two DCI sizes, </w:t>
      </w:r>
    </w:p>
    <w:p w:rsidR="000F5C39" w:rsidRDefault="000F5C39" w:rsidP="000F5C39">
      <w:pPr>
        <w:pStyle w:val="BodyText"/>
        <w:numPr>
          <w:ilvl w:val="0"/>
          <w:numId w:val="39"/>
        </w:numPr>
      </w:pPr>
      <w:r>
        <w:t>one for the fallback formats, the size of which is not configurable</w:t>
      </w:r>
    </w:p>
    <w:p w:rsidR="000F5C39" w:rsidRDefault="000F5C39" w:rsidP="000F5C39">
      <w:pPr>
        <w:pStyle w:val="BodyText"/>
        <w:numPr>
          <w:ilvl w:val="0"/>
          <w:numId w:val="39"/>
        </w:numPr>
      </w:pPr>
      <w:r>
        <w:t>one for the general formats, the size of which can depend on the configuration of various features</w:t>
      </w:r>
    </w:p>
    <w:p w:rsidR="000F5C39" w:rsidRDefault="000F5C39" w:rsidP="000F5C39">
      <w:pPr>
        <w:tabs>
          <w:tab w:val="left" w:pos="720"/>
        </w:tabs>
        <w:rPr>
          <w:szCs w:val="20"/>
        </w:rPr>
      </w:pPr>
      <w:r w:rsidRPr="000F5C39">
        <w:rPr>
          <w:szCs w:val="20"/>
        </w:rPr>
        <w:t>F</w:t>
      </w:r>
      <w:r>
        <w:rPr>
          <w:szCs w:val="20"/>
        </w:rPr>
        <w:t xml:space="preserve">urthermore, </w:t>
      </w:r>
      <w:r w:rsidRPr="000F5C39">
        <w:rPr>
          <w:szCs w:val="20"/>
        </w:rPr>
        <w:t xml:space="preserve">the UL and DL sizes </w:t>
      </w:r>
      <w:r>
        <w:rPr>
          <w:szCs w:val="20"/>
        </w:rPr>
        <w:t>are aligned</w:t>
      </w:r>
      <w:r w:rsidR="00AB1512">
        <w:rPr>
          <w:szCs w:val="20"/>
        </w:rPr>
        <w:t xml:space="preserve"> </w:t>
      </w:r>
      <w:r w:rsidRPr="000F5C39">
        <w:rPr>
          <w:szCs w:val="20"/>
        </w:rPr>
        <w:t>in the respective category, resulting in blind decoding of at most two sizes.</w:t>
      </w:r>
    </w:p>
    <w:p w:rsidR="00AB1512" w:rsidRDefault="00AB1512" w:rsidP="000F5C39">
      <w:pPr>
        <w:tabs>
          <w:tab w:val="left" w:pos="720"/>
        </w:tabs>
        <w:rPr>
          <w:szCs w:val="20"/>
        </w:rPr>
      </w:pPr>
    </w:p>
    <w:p w:rsidR="00AB1512" w:rsidRDefault="00AB1512" w:rsidP="000F5C39">
      <w:pPr>
        <w:tabs>
          <w:tab w:val="left" w:pos="720"/>
        </w:tabs>
        <w:rPr>
          <w:szCs w:val="20"/>
        </w:rPr>
      </w:pPr>
      <w:r>
        <w:rPr>
          <w:szCs w:val="20"/>
        </w:rPr>
        <w:t xml:space="preserve">To differentiate between UL and DL, a header field is included. </w:t>
      </w:r>
      <w:r w:rsidR="00604D7E">
        <w:rPr>
          <w:szCs w:val="20"/>
        </w:rPr>
        <w:t xml:space="preserve">One possibility is to use </w:t>
      </w:r>
      <w:r>
        <w:rPr>
          <w:szCs w:val="20"/>
        </w:rPr>
        <w:t xml:space="preserve">two </w:t>
      </w:r>
      <w:proofErr w:type="gramStart"/>
      <w:r>
        <w:rPr>
          <w:szCs w:val="20"/>
        </w:rPr>
        <w:t>bits</w:t>
      </w:r>
      <w:r w:rsidR="00604D7E">
        <w:rPr>
          <w:szCs w:val="20"/>
        </w:rPr>
        <w:t xml:space="preserve">, </w:t>
      </w:r>
      <w:r>
        <w:rPr>
          <w:szCs w:val="20"/>
        </w:rPr>
        <w:t xml:space="preserve"> allowing</w:t>
      </w:r>
      <w:proofErr w:type="gramEnd"/>
      <w:r>
        <w:rPr>
          <w:szCs w:val="20"/>
        </w:rPr>
        <w:t xml:space="preserve"> the same DCI size to be interpreted for three different purposes, e.g. DL, UL, ‘DCI command’ with the fourth combination reserved for future use. The ‘DCI command’ </w:t>
      </w:r>
      <w:r w:rsidR="00604D7E">
        <w:rPr>
          <w:szCs w:val="20"/>
        </w:rPr>
        <w:t xml:space="preserve">(‘PDCCH order’) </w:t>
      </w:r>
      <w:r>
        <w:rPr>
          <w:szCs w:val="20"/>
        </w:rPr>
        <w:t>can be used for e.g. CA and BWP (de)activation</w:t>
      </w:r>
      <w:r w:rsidR="00820DF1">
        <w:rPr>
          <w:szCs w:val="20"/>
        </w:rPr>
        <w:t>; bits after the header could be used to differentiate betwe</w:t>
      </w:r>
      <w:r w:rsidR="009806A9">
        <w:rPr>
          <w:szCs w:val="20"/>
        </w:rPr>
        <w:t>en different commands if needed</w:t>
      </w:r>
      <w:r>
        <w:rPr>
          <w:szCs w:val="20"/>
        </w:rPr>
        <w:t xml:space="preserve">. The size of the header could be reduced if we allocate multiple RNTIs for a UE, but this would consume multiple RNTIs. For messages read by multiple UEs, e.g. the preemption indicator </w:t>
      </w:r>
      <w:proofErr w:type="spellStart"/>
      <w:proofErr w:type="gramStart"/>
      <w:r>
        <w:rPr>
          <w:szCs w:val="20"/>
        </w:rPr>
        <w:t>od</w:t>
      </w:r>
      <w:proofErr w:type="spellEnd"/>
      <w:proofErr w:type="gramEnd"/>
      <w:r>
        <w:rPr>
          <w:szCs w:val="20"/>
        </w:rPr>
        <w:t xml:space="preserve"> the SFI, a separate group RNTI is used.</w:t>
      </w:r>
    </w:p>
    <w:p w:rsidR="009B0734" w:rsidRDefault="009B0734" w:rsidP="000F5C39">
      <w:pPr>
        <w:tabs>
          <w:tab w:val="left" w:pos="720"/>
        </w:tabs>
        <w:rPr>
          <w:szCs w:val="20"/>
        </w:rPr>
      </w:pPr>
    </w:p>
    <w:p w:rsidR="009B0734" w:rsidRDefault="009B0734" w:rsidP="009B0734">
      <w:pPr>
        <w:pStyle w:val="ListParagraph"/>
        <w:numPr>
          <w:ilvl w:val="0"/>
          <w:numId w:val="40"/>
        </w:numPr>
        <w:tabs>
          <w:tab w:val="left" w:pos="720"/>
        </w:tabs>
        <w:rPr>
          <w:szCs w:val="20"/>
        </w:rPr>
      </w:pPr>
      <w:r>
        <w:rPr>
          <w:szCs w:val="20"/>
        </w:rPr>
        <w:t>Is the approach taken in the excel sheet in this respect reasonable? What is a reasonable size of the header field?</w:t>
      </w:r>
    </w:p>
    <w:p w:rsidR="009B0734" w:rsidRDefault="009B0734" w:rsidP="009B0734">
      <w:pPr>
        <w:tabs>
          <w:tab w:val="left" w:pos="720"/>
        </w:tabs>
        <w:rPr>
          <w:szCs w:val="20"/>
        </w:rPr>
      </w:pPr>
    </w:p>
    <w:tbl>
      <w:tblPr>
        <w:tblStyle w:val="TableGrid"/>
        <w:tblW w:w="0" w:type="auto"/>
        <w:tblLook w:val="04A0" w:firstRow="1" w:lastRow="0" w:firstColumn="1" w:lastColumn="0" w:noHBand="0" w:noVBand="1"/>
      </w:tblPr>
      <w:tblGrid>
        <w:gridCol w:w="2122"/>
        <w:gridCol w:w="6940"/>
      </w:tblGrid>
      <w:tr w:rsidR="009B0734" w:rsidTr="00D63556">
        <w:tc>
          <w:tcPr>
            <w:tcW w:w="2122" w:type="dxa"/>
            <w:shd w:val="clear" w:color="auto" w:fill="F2F2F2" w:themeFill="background1" w:themeFillShade="F2"/>
          </w:tcPr>
          <w:p w:rsidR="009B0734" w:rsidRDefault="009B0734" w:rsidP="00D63556">
            <w:pPr>
              <w:pStyle w:val="BodyText"/>
            </w:pPr>
            <w:r>
              <w:t>Company</w:t>
            </w:r>
          </w:p>
        </w:tc>
        <w:tc>
          <w:tcPr>
            <w:tcW w:w="6940" w:type="dxa"/>
            <w:shd w:val="clear" w:color="auto" w:fill="F2F2F2" w:themeFill="background1" w:themeFillShade="F2"/>
          </w:tcPr>
          <w:p w:rsidR="009B0734" w:rsidRDefault="009B0734" w:rsidP="00D63556">
            <w:pPr>
              <w:pStyle w:val="BodyText"/>
            </w:pPr>
            <w:r>
              <w:t>Comment</w:t>
            </w:r>
          </w:p>
        </w:tc>
      </w:tr>
      <w:tr w:rsidR="00A14F93" w:rsidTr="00D63556">
        <w:tc>
          <w:tcPr>
            <w:tcW w:w="2122" w:type="dxa"/>
          </w:tcPr>
          <w:p w:rsidR="00A14F93" w:rsidRDefault="00A14F93" w:rsidP="00A14F93">
            <w:pPr>
              <w:pStyle w:val="BodyText"/>
            </w:pPr>
            <w:r w:rsidRPr="008E4384">
              <w:rPr>
                <w:rFonts w:eastAsia="Malgun Gothic" w:hint="eastAsia"/>
                <w:lang w:eastAsia="ko-KR"/>
              </w:rPr>
              <w:t>Samsung</w:t>
            </w:r>
          </w:p>
        </w:tc>
        <w:tc>
          <w:tcPr>
            <w:tcW w:w="6940" w:type="dxa"/>
          </w:tcPr>
          <w:p w:rsidR="00A14F93" w:rsidRDefault="00A14F93" w:rsidP="00A14F93">
            <w:pPr>
              <w:pStyle w:val="BodyText"/>
            </w:pPr>
            <w:r w:rsidRPr="008E4384">
              <w:rPr>
                <w:rFonts w:eastAsia="Malgun Gothic" w:hint="eastAsia"/>
                <w:lang w:eastAsia="ko-KR"/>
              </w:rPr>
              <w:t xml:space="preserve">1-bit for a header field size seems OK for now </w:t>
            </w:r>
            <w:proofErr w:type="gramStart"/>
            <w:r w:rsidRPr="008E4384">
              <w:rPr>
                <w:rFonts w:eastAsia="Malgun Gothic" w:hint="eastAsia"/>
                <w:lang w:eastAsia="ko-KR"/>
              </w:rPr>
              <w:t>for the purpose of</w:t>
            </w:r>
            <w:proofErr w:type="gramEnd"/>
            <w:r w:rsidRPr="008E4384">
              <w:rPr>
                <w:rFonts w:eastAsia="Malgun Gothic" w:hint="eastAsia"/>
                <w:lang w:eastAsia="ko-KR"/>
              </w:rPr>
              <w:t xml:space="preserve"> </w:t>
            </w:r>
            <w:r w:rsidRPr="008E4384">
              <w:rPr>
                <w:rFonts w:eastAsia="Malgun Gothic"/>
                <w:lang w:eastAsia="ko-KR"/>
              </w:rPr>
              <w:t>differen</w:t>
            </w:r>
            <w:r w:rsidRPr="008E4384">
              <w:rPr>
                <w:rFonts w:eastAsia="Malgun Gothic" w:hint="eastAsia"/>
                <w:lang w:eastAsia="ko-KR"/>
              </w:rPr>
              <w:t xml:space="preserve">tiating UL and DL DCI. Other than this purpose, we are not sure that more than 1 bit is really needed. Adding more bits can be discussed pending other </w:t>
            </w:r>
            <w:r w:rsidRPr="008E4384">
              <w:rPr>
                <w:rFonts w:eastAsia="Malgun Gothic"/>
                <w:lang w:eastAsia="ko-KR"/>
              </w:rPr>
              <w:t>identified</w:t>
            </w:r>
            <w:r w:rsidRPr="008E4384">
              <w:rPr>
                <w:rFonts w:eastAsia="Malgun Gothic" w:hint="eastAsia"/>
                <w:lang w:eastAsia="ko-KR"/>
              </w:rPr>
              <w:t>/agreed use cases. Also, differentiating GC-DCI and UE-specific DCI is based on different RNTI as described above.</w:t>
            </w:r>
          </w:p>
        </w:tc>
      </w:tr>
      <w:tr w:rsidR="00A14F93" w:rsidTr="00D63556">
        <w:tc>
          <w:tcPr>
            <w:tcW w:w="2122" w:type="dxa"/>
          </w:tcPr>
          <w:p w:rsidR="00A14F93" w:rsidRDefault="00A14F93" w:rsidP="00A14F93">
            <w:pPr>
              <w:pStyle w:val="BodyText"/>
            </w:pPr>
            <w:r>
              <w:rPr>
                <w:rFonts w:hint="eastAsia"/>
                <w:lang w:eastAsia="ja-JP"/>
              </w:rPr>
              <w:t>NTT DOCOMO</w:t>
            </w:r>
          </w:p>
        </w:tc>
        <w:tc>
          <w:tcPr>
            <w:tcW w:w="6940" w:type="dxa"/>
          </w:tcPr>
          <w:p w:rsidR="00A14F93" w:rsidRDefault="00A14F93" w:rsidP="00A14F93">
            <w:pPr>
              <w:pStyle w:val="BodyText"/>
            </w:pPr>
            <w:r>
              <w:rPr>
                <w:rFonts w:hint="eastAsia"/>
                <w:lang w:eastAsia="ja-JP"/>
              </w:rPr>
              <w:t>Agree with Samsung. Different RNTIs is one reasonable way to differentiate the DCI formats, in addition to the header field. It is beneficial further if the RNTI field size is increased compared to 16 bits, at least for forward compatibility purpose, while the final decision is up to RAN2.</w:t>
            </w:r>
          </w:p>
        </w:tc>
      </w:tr>
      <w:tr w:rsidR="00604D7E" w:rsidTr="00D63556">
        <w:tc>
          <w:tcPr>
            <w:tcW w:w="2122" w:type="dxa"/>
          </w:tcPr>
          <w:p w:rsidR="00604D7E" w:rsidRDefault="00604D7E" w:rsidP="00A14F93">
            <w:pPr>
              <w:pStyle w:val="BodyText"/>
              <w:rPr>
                <w:lang w:eastAsia="ja-JP"/>
              </w:rPr>
            </w:pPr>
            <w:r>
              <w:rPr>
                <w:lang w:eastAsia="ja-JP"/>
              </w:rPr>
              <w:t>Ericsson</w:t>
            </w:r>
          </w:p>
        </w:tc>
        <w:tc>
          <w:tcPr>
            <w:tcW w:w="6940" w:type="dxa"/>
          </w:tcPr>
          <w:p w:rsidR="00604D7E" w:rsidRDefault="00604D7E" w:rsidP="00A14F93">
            <w:pPr>
              <w:pStyle w:val="BodyText"/>
              <w:rPr>
                <w:lang w:eastAsia="ja-JP"/>
              </w:rPr>
            </w:pPr>
            <w:r>
              <w:rPr>
                <w:lang w:eastAsia="ja-JP"/>
              </w:rPr>
              <w:t>One bit is the minimum. Distinguishing UE-specific ‘commands’ may need additional bits (using multiple RNTIs for UE-specific commands is less attractive as it ‘eats’ from the overall RNTI space)</w:t>
            </w:r>
          </w:p>
        </w:tc>
      </w:tr>
      <w:tr w:rsidR="00236765" w:rsidTr="00D63556">
        <w:tc>
          <w:tcPr>
            <w:tcW w:w="2122" w:type="dxa"/>
          </w:tcPr>
          <w:p w:rsidR="00236765" w:rsidRDefault="00236765" w:rsidP="00236765">
            <w:pPr>
              <w:pStyle w:val="BodyText"/>
              <w:rPr>
                <w:lang w:eastAsia="ja-JP"/>
              </w:rPr>
            </w:pPr>
            <w:r>
              <w:rPr>
                <w:lang w:eastAsia="ja-JP"/>
              </w:rPr>
              <w:lastRenderedPageBreak/>
              <w:t>Intel</w:t>
            </w:r>
          </w:p>
        </w:tc>
        <w:tc>
          <w:tcPr>
            <w:tcW w:w="6940" w:type="dxa"/>
          </w:tcPr>
          <w:p w:rsidR="00236765" w:rsidRDefault="00236765" w:rsidP="00236765">
            <w:pPr>
              <w:pStyle w:val="BodyText"/>
              <w:rPr>
                <w:lang w:eastAsia="ja-JP"/>
              </w:rPr>
            </w:pPr>
            <w:r>
              <w:rPr>
                <w:lang w:eastAsia="ja-JP"/>
              </w:rPr>
              <w:t xml:space="preserve">1-bit header field is feasible at this stage. Depending on the further discussion on the exact DCI contents, one more bit may be needed </w:t>
            </w:r>
            <w:proofErr w:type="gramStart"/>
            <w:r>
              <w:rPr>
                <w:lang w:eastAsia="ja-JP"/>
              </w:rPr>
              <w:t>in order to</w:t>
            </w:r>
            <w:proofErr w:type="gramEnd"/>
            <w:r>
              <w:rPr>
                <w:lang w:eastAsia="ja-JP"/>
              </w:rPr>
              <w:t xml:space="preserve"> align the size of PI/RMSI, fallback DCI format and other power control common DCI like 3/3A.   </w:t>
            </w:r>
          </w:p>
        </w:tc>
      </w:tr>
    </w:tbl>
    <w:p w:rsidR="009B0734" w:rsidRPr="009B0734" w:rsidRDefault="009B0734" w:rsidP="009B0734">
      <w:pPr>
        <w:tabs>
          <w:tab w:val="left" w:pos="720"/>
        </w:tabs>
        <w:rPr>
          <w:szCs w:val="20"/>
        </w:rPr>
      </w:pPr>
    </w:p>
    <w:p w:rsidR="00AB1512" w:rsidRDefault="00AB1512" w:rsidP="000F5C39">
      <w:pPr>
        <w:pStyle w:val="BodyText"/>
      </w:pPr>
    </w:p>
    <w:p w:rsidR="00AB1512" w:rsidRDefault="00AB1512" w:rsidP="00AB1512">
      <w:pPr>
        <w:pStyle w:val="Heading1"/>
      </w:pPr>
      <w:r>
        <w:t>Fallback DCI</w:t>
      </w:r>
    </w:p>
    <w:p w:rsidR="00AB1512" w:rsidRDefault="00AB1512" w:rsidP="00AB1512">
      <w:pPr>
        <w:pStyle w:val="BodyText"/>
      </w:pPr>
      <w:r>
        <w:t>One purpose of the fallback DCI is to handle periods of uncertainty during RRC reconfiguration. There is also a need to handle common messages such as paging, RMSI scheduling, preemption indication, BW/CA (de)activation etc</w:t>
      </w:r>
      <w:r w:rsidR="009B0734">
        <w:t>.</w:t>
      </w:r>
      <w:r w:rsidR="0085020E">
        <w:t xml:space="preserve"> To keep the size of the fallback DCI small, some fields have been removed, e.g. no support for spatial multiplexing, no support for resource allocation type 0. Some of the existing fields may also be reduced, e.g. the resource allocation field could be made smaller at the cost some restriction in the bandwidths possible to schedule although many packets anyway are relatively small.</w:t>
      </w:r>
    </w:p>
    <w:p w:rsidR="009B0734" w:rsidRDefault="009B0734" w:rsidP="009B0734">
      <w:pPr>
        <w:pStyle w:val="BodyText"/>
        <w:numPr>
          <w:ilvl w:val="0"/>
          <w:numId w:val="31"/>
        </w:numPr>
      </w:pPr>
      <w:r>
        <w:t>Is the size of the “fallback DCI” the same as the size of the DCI used for common messages</w:t>
      </w:r>
      <w:r w:rsidR="0085020E">
        <w:t xml:space="preserve"> (e.g. paging, RMSI scheduling) or do we define additional DCI sizes for some of these purposes?</w:t>
      </w:r>
    </w:p>
    <w:p w:rsidR="0085020E" w:rsidRDefault="0085020E" w:rsidP="009B0734">
      <w:pPr>
        <w:pStyle w:val="BodyText"/>
        <w:numPr>
          <w:ilvl w:val="0"/>
          <w:numId w:val="31"/>
        </w:numPr>
      </w:pPr>
      <w:r>
        <w:t>Should we reduce the size of some of the existing fields in the fallback DCI? How many RBs should the fallback DCI be able to schedule?</w:t>
      </w:r>
    </w:p>
    <w:p w:rsidR="009B0734" w:rsidRDefault="009B0734" w:rsidP="00AB1512">
      <w:pPr>
        <w:pStyle w:val="BodyText"/>
      </w:pPr>
    </w:p>
    <w:tbl>
      <w:tblPr>
        <w:tblStyle w:val="TableGrid"/>
        <w:tblW w:w="0" w:type="auto"/>
        <w:tblLook w:val="04A0" w:firstRow="1" w:lastRow="0" w:firstColumn="1" w:lastColumn="0" w:noHBand="0" w:noVBand="1"/>
      </w:tblPr>
      <w:tblGrid>
        <w:gridCol w:w="2122"/>
        <w:gridCol w:w="6940"/>
      </w:tblGrid>
      <w:tr w:rsidR="009B0734" w:rsidTr="009B0734">
        <w:tc>
          <w:tcPr>
            <w:tcW w:w="2122" w:type="dxa"/>
            <w:shd w:val="clear" w:color="auto" w:fill="F2F2F2" w:themeFill="background1" w:themeFillShade="F2"/>
          </w:tcPr>
          <w:p w:rsidR="009B0734" w:rsidRDefault="009B0734" w:rsidP="00AB1512">
            <w:pPr>
              <w:pStyle w:val="BodyText"/>
            </w:pPr>
            <w:r>
              <w:t>Company</w:t>
            </w:r>
          </w:p>
        </w:tc>
        <w:tc>
          <w:tcPr>
            <w:tcW w:w="6940" w:type="dxa"/>
            <w:shd w:val="clear" w:color="auto" w:fill="F2F2F2" w:themeFill="background1" w:themeFillShade="F2"/>
          </w:tcPr>
          <w:p w:rsidR="009B0734" w:rsidRDefault="009B0734" w:rsidP="00AB1512">
            <w:pPr>
              <w:pStyle w:val="BodyText"/>
            </w:pPr>
            <w:r>
              <w:t>Comment</w:t>
            </w:r>
          </w:p>
        </w:tc>
      </w:tr>
      <w:tr w:rsidR="00A14F93" w:rsidTr="009B0734">
        <w:tc>
          <w:tcPr>
            <w:tcW w:w="2122" w:type="dxa"/>
          </w:tcPr>
          <w:p w:rsidR="00A14F93" w:rsidRDefault="00A14F93" w:rsidP="00A14F93">
            <w:pPr>
              <w:pStyle w:val="BodyText"/>
            </w:pPr>
            <w:r w:rsidRPr="008E4384">
              <w:rPr>
                <w:rFonts w:eastAsia="Malgun Gothic" w:hint="eastAsia"/>
                <w:lang w:eastAsia="ko-KR"/>
              </w:rPr>
              <w:t>Samsung</w:t>
            </w:r>
          </w:p>
        </w:tc>
        <w:tc>
          <w:tcPr>
            <w:tcW w:w="6940" w:type="dxa"/>
          </w:tcPr>
          <w:p w:rsidR="00A14F93" w:rsidRPr="008E4384" w:rsidRDefault="00A14F93" w:rsidP="00A14F93">
            <w:pPr>
              <w:pStyle w:val="BodyText"/>
              <w:rPr>
                <w:rFonts w:eastAsia="Malgun Gothic"/>
                <w:lang w:eastAsia="ko-KR"/>
              </w:rPr>
            </w:pPr>
            <w:r w:rsidRPr="008E4384">
              <w:rPr>
                <w:rFonts w:eastAsia="Malgun Gothic" w:hint="eastAsia"/>
                <w:lang w:eastAsia="ko-KR"/>
              </w:rPr>
              <w:t xml:space="preserve">As same in LTE, two DCI formats (e.g., 1A and 1C) having different sizes can be defined. Then one of them (e.g., 1A) can be used for both </w:t>
            </w:r>
            <w:r w:rsidRPr="008E4384">
              <w:rPr>
                <w:rFonts w:eastAsia="Malgun Gothic"/>
                <w:lang w:eastAsia="ko-KR"/>
              </w:rPr>
              <w:t>“</w:t>
            </w:r>
            <w:r w:rsidRPr="008E4384">
              <w:rPr>
                <w:rFonts w:eastAsia="Malgun Gothic" w:hint="eastAsia"/>
                <w:lang w:eastAsia="ko-KR"/>
              </w:rPr>
              <w:t>fallback</w:t>
            </w:r>
            <w:r w:rsidRPr="008E4384">
              <w:rPr>
                <w:rFonts w:eastAsia="Malgun Gothic"/>
                <w:lang w:eastAsia="ko-KR"/>
              </w:rPr>
              <w:t>”</w:t>
            </w:r>
            <w:r w:rsidRPr="008E4384">
              <w:rPr>
                <w:rFonts w:eastAsia="Malgun Gothic" w:hint="eastAsia"/>
                <w:lang w:eastAsia="ko-KR"/>
              </w:rPr>
              <w:t xml:space="preserve"> and common messages and the other one (e.g., 1C) can be used for common messages. </w:t>
            </w:r>
          </w:p>
          <w:p w:rsidR="00A14F93" w:rsidRPr="008E4384" w:rsidRDefault="00A14F93" w:rsidP="00A14F93">
            <w:pPr>
              <w:pStyle w:val="BodyText"/>
              <w:rPr>
                <w:rFonts w:eastAsia="Malgun Gothic"/>
                <w:lang w:eastAsia="ko-KR"/>
              </w:rPr>
            </w:pPr>
            <w:r w:rsidRPr="008E4384">
              <w:rPr>
                <w:rFonts w:eastAsia="Malgun Gothic" w:hint="eastAsia"/>
                <w:lang w:eastAsia="ko-KR"/>
              </w:rPr>
              <w:t xml:space="preserve">The size of </w:t>
            </w:r>
            <w:r w:rsidRPr="008E4384">
              <w:rPr>
                <w:rFonts w:eastAsia="Malgun Gothic"/>
                <w:lang w:eastAsia="ko-KR"/>
              </w:rPr>
              <w:t>“</w:t>
            </w:r>
            <w:r w:rsidRPr="008E4384">
              <w:rPr>
                <w:rFonts w:eastAsia="Malgun Gothic" w:hint="eastAsia"/>
                <w:lang w:eastAsia="ko-KR"/>
              </w:rPr>
              <w:t>fallback DCI</w:t>
            </w:r>
            <w:r w:rsidRPr="008E4384">
              <w:rPr>
                <w:rFonts w:eastAsia="Malgun Gothic"/>
                <w:lang w:eastAsia="ko-KR"/>
              </w:rPr>
              <w:t>”</w:t>
            </w:r>
            <w:r w:rsidRPr="008E4384">
              <w:rPr>
                <w:rFonts w:eastAsia="Malgun Gothic" w:hint="eastAsia"/>
                <w:lang w:eastAsia="ko-KR"/>
              </w:rPr>
              <w:t xml:space="preserve"> should be minimized as much as possible. The fields captured in excel sheet generally seems OK. We can further remove </w:t>
            </w:r>
            <w:r w:rsidRPr="008E4384">
              <w:rPr>
                <w:rFonts w:eastAsia="Malgun Gothic"/>
                <w:lang w:eastAsia="ko-KR"/>
              </w:rPr>
              <w:t>“</w:t>
            </w:r>
            <w:r w:rsidRPr="008E4384">
              <w:rPr>
                <w:rFonts w:eastAsia="Malgun Gothic" w:hint="eastAsia"/>
                <w:lang w:eastAsia="ko-KR"/>
              </w:rPr>
              <w:t>Antenna port</w:t>
            </w:r>
            <w:r w:rsidRPr="008E4384">
              <w:rPr>
                <w:rFonts w:eastAsia="Malgun Gothic"/>
                <w:lang w:eastAsia="ko-KR"/>
              </w:rPr>
              <w:t>”</w:t>
            </w:r>
            <w:r w:rsidRPr="008E4384">
              <w:rPr>
                <w:rFonts w:eastAsia="Malgun Gothic" w:hint="eastAsia"/>
                <w:lang w:eastAsia="ko-KR"/>
              </w:rPr>
              <w:t xml:space="preserve"> field. N</w:t>
            </w:r>
          </w:p>
          <w:p w:rsidR="00A14F93" w:rsidRDefault="00A14F93" w:rsidP="00A14F93">
            <w:pPr>
              <w:pStyle w:val="BodyText"/>
            </w:pPr>
            <w:r w:rsidRPr="008E4384">
              <w:rPr>
                <w:rFonts w:eastAsia="Malgun Gothic" w:hint="eastAsia"/>
                <w:lang w:eastAsia="ko-KR"/>
              </w:rPr>
              <w:t xml:space="preserve">There is no need to consider any restriction on number of RBs that can be </w:t>
            </w:r>
            <w:r w:rsidRPr="008E4384">
              <w:rPr>
                <w:rFonts w:eastAsia="Malgun Gothic"/>
                <w:lang w:eastAsia="ko-KR"/>
              </w:rPr>
              <w:t>scheduled</w:t>
            </w:r>
            <w:r w:rsidRPr="008E4384">
              <w:rPr>
                <w:rFonts w:eastAsia="Malgun Gothic" w:hint="eastAsia"/>
                <w:lang w:eastAsia="ko-KR"/>
              </w:rPr>
              <w:t xml:space="preserve"> by fallback DCI. The size of frequency domain RA field can be determined by bandwidth of configured BWP and corresponding RBG size (which is captured as </w:t>
            </w:r>
            <w:proofErr w:type="spellStart"/>
            <w:r w:rsidRPr="008E4384">
              <w:rPr>
                <w:rFonts w:eastAsia="Malgun Gothic" w:hint="eastAsia"/>
                <w:lang w:eastAsia="ko-KR"/>
              </w:rPr>
              <w:t>N</w:t>
            </w:r>
            <w:r w:rsidRPr="008E4384">
              <w:rPr>
                <w:rFonts w:eastAsia="Malgun Gothic" w:hint="eastAsia"/>
                <w:vertAlign w:val="subscript"/>
                <w:lang w:eastAsia="ko-KR"/>
              </w:rPr>
              <w:t>RB</w:t>
            </w:r>
            <w:r w:rsidRPr="008E4384">
              <w:rPr>
                <w:rFonts w:eastAsia="Malgun Gothic" w:hint="eastAsia"/>
                <w:vertAlign w:val="superscript"/>
                <w:lang w:eastAsia="ko-KR"/>
              </w:rPr>
              <w:t>step</w:t>
            </w:r>
            <w:proofErr w:type="spellEnd"/>
            <w:r w:rsidRPr="008E4384">
              <w:rPr>
                <w:rFonts w:eastAsia="Malgun Gothic" w:hint="eastAsia"/>
                <w:lang w:eastAsia="ko-KR"/>
              </w:rPr>
              <w:t xml:space="preserve"> in LTE for 1C).</w:t>
            </w:r>
          </w:p>
        </w:tc>
      </w:tr>
      <w:tr w:rsidR="00A14F93" w:rsidTr="009B0734">
        <w:tc>
          <w:tcPr>
            <w:tcW w:w="2122" w:type="dxa"/>
          </w:tcPr>
          <w:p w:rsidR="00A14F93" w:rsidRDefault="00A14F93" w:rsidP="00A14F93">
            <w:pPr>
              <w:pStyle w:val="BodyText"/>
            </w:pPr>
            <w:r>
              <w:rPr>
                <w:rFonts w:hint="eastAsia"/>
                <w:lang w:eastAsia="ja-JP"/>
              </w:rPr>
              <w:t>NTT DOCOMO</w:t>
            </w:r>
          </w:p>
        </w:tc>
        <w:tc>
          <w:tcPr>
            <w:tcW w:w="6940" w:type="dxa"/>
          </w:tcPr>
          <w:p w:rsidR="00A14F93" w:rsidRDefault="00A14F93" w:rsidP="00A14F93">
            <w:pPr>
              <w:pStyle w:val="BodyText"/>
            </w:pPr>
            <w:r>
              <w:rPr>
                <w:rFonts w:hint="eastAsia"/>
                <w:lang w:eastAsia="ja-JP"/>
              </w:rPr>
              <w:t>Agree with Samsung.</w:t>
            </w:r>
          </w:p>
        </w:tc>
      </w:tr>
      <w:tr w:rsidR="00604D7E" w:rsidTr="009B0734">
        <w:tc>
          <w:tcPr>
            <w:tcW w:w="2122" w:type="dxa"/>
          </w:tcPr>
          <w:p w:rsidR="00604D7E" w:rsidRDefault="00604D7E" w:rsidP="00A14F93">
            <w:pPr>
              <w:pStyle w:val="BodyText"/>
              <w:rPr>
                <w:lang w:eastAsia="ja-JP"/>
              </w:rPr>
            </w:pPr>
            <w:r>
              <w:rPr>
                <w:lang w:eastAsia="ja-JP"/>
              </w:rPr>
              <w:t>Ericsson</w:t>
            </w:r>
          </w:p>
        </w:tc>
        <w:tc>
          <w:tcPr>
            <w:tcW w:w="6940" w:type="dxa"/>
          </w:tcPr>
          <w:p w:rsidR="00604D7E" w:rsidRDefault="00604D7E" w:rsidP="00A14F93">
            <w:pPr>
              <w:pStyle w:val="BodyText"/>
              <w:rPr>
                <w:lang w:eastAsia="ja-JP"/>
              </w:rPr>
            </w:pPr>
            <w:r>
              <w:rPr>
                <w:lang w:eastAsia="ja-JP"/>
              </w:rPr>
              <w:t xml:space="preserve">It should be possible to schedule RMSI </w:t>
            </w:r>
            <w:proofErr w:type="spellStart"/>
            <w:r>
              <w:rPr>
                <w:lang w:eastAsia="ja-JP"/>
              </w:rPr>
              <w:t>etc</w:t>
            </w:r>
            <w:proofErr w:type="spellEnd"/>
            <w:r>
              <w:rPr>
                <w:lang w:eastAsia="ja-JP"/>
              </w:rPr>
              <w:t xml:space="preserve"> using the same fallback DCI as used for data.</w:t>
            </w:r>
          </w:p>
          <w:p w:rsidR="004A0C09" w:rsidRDefault="004A0C09" w:rsidP="00A14F93">
            <w:pPr>
              <w:pStyle w:val="BodyText"/>
              <w:rPr>
                <w:lang w:eastAsia="ja-JP"/>
              </w:rPr>
            </w:pPr>
            <w:r>
              <w:rPr>
                <w:lang w:eastAsia="ja-JP"/>
              </w:rPr>
              <w:t>Most (all?) multi-antenna-related DCI fields (e.g. TPMI, TCI) can be removed for the fallback DCI.</w:t>
            </w:r>
          </w:p>
        </w:tc>
      </w:tr>
      <w:tr w:rsidR="00236765" w:rsidTr="009B0734">
        <w:tc>
          <w:tcPr>
            <w:tcW w:w="2122" w:type="dxa"/>
          </w:tcPr>
          <w:p w:rsidR="00236765" w:rsidRDefault="00236765" w:rsidP="00236765">
            <w:pPr>
              <w:pStyle w:val="BodyText"/>
              <w:rPr>
                <w:lang w:eastAsia="ja-JP"/>
              </w:rPr>
            </w:pPr>
            <w:r>
              <w:rPr>
                <w:lang w:eastAsia="ja-JP"/>
              </w:rPr>
              <w:t>Intel</w:t>
            </w:r>
          </w:p>
        </w:tc>
        <w:tc>
          <w:tcPr>
            <w:tcW w:w="6940" w:type="dxa"/>
          </w:tcPr>
          <w:p w:rsidR="00236765" w:rsidRDefault="00236765" w:rsidP="00236765">
            <w:pPr>
              <w:pStyle w:val="BodyText"/>
              <w:tabs>
                <w:tab w:val="left" w:pos="2150"/>
              </w:tabs>
              <w:rPr>
                <w:lang w:eastAsia="ja-JP"/>
              </w:rPr>
            </w:pPr>
            <w:r>
              <w:rPr>
                <w:lang w:eastAsia="ja-JP"/>
              </w:rPr>
              <w:t xml:space="preserve">We share the views of Ericsson that fallback DCI format should be also considered for PI/RMSI scheduling </w:t>
            </w:r>
            <w:proofErr w:type="gramStart"/>
            <w:r>
              <w:rPr>
                <w:lang w:eastAsia="ja-JP"/>
              </w:rPr>
              <w:t>so as to</w:t>
            </w:r>
            <w:proofErr w:type="gramEnd"/>
            <w:r>
              <w:rPr>
                <w:lang w:eastAsia="ja-JP"/>
              </w:rPr>
              <w:t xml:space="preserve"> further reduce the blind decoding attempts. </w:t>
            </w:r>
          </w:p>
          <w:p w:rsidR="00236765" w:rsidRDefault="00236765" w:rsidP="00236765">
            <w:pPr>
              <w:pStyle w:val="BodyText"/>
              <w:rPr>
                <w:lang w:eastAsia="ja-JP"/>
              </w:rPr>
            </w:pPr>
            <w:r>
              <w:rPr>
                <w:lang w:eastAsia="ja-JP"/>
              </w:rPr>
              <w:t xml:space="preserve">In addition, we think cross-BWP scheduling should not be supported by fallback DCI format </w:t>
            </w:r>
            <w:proofErr w:type="gramStart"/>
            <w:r>
              <w:rPr>
                <w:lang w:eastAsia="ja-JP"/>
              </w:rPr>
              <w:t>in order to</w:t>
            </w:r>
            <w:proofErr w:type="gramEnd"/>
            <w:r>
              <w:rPr>
                <w:lang w:eastAsia="ja-JP"/>
              </w:rPr>
              <w:t xml:space="preserve"> minimize the DCI format size  </w:t>
            </w:r>
          </w:p>
        </w:tc>
      </w:tr>
    </w:tbl>
    <w:p w:rsidR="009B000B" w:rsidRPr="00AB1512" w:rsidRDefault="009B000B" w:rsidP="00AB1512">
      <w:pPr>
        <w:pStyle w:val="BodyText"/>
      </w:pPr>
    </w:p>
    <w:p w:rsidR="00A336D7" w:rsidRDefault="00A336D7" w:rsidP="0085020E">
      <w:pPr>
        <w:pStyle w:val="Heading1"/>
      </w:pPr>
      <w:r>
        <w:t xml:space="preserve">DCI </w:t>
      </w:r>
      <w:r w:rsidR="006029D9">
        <w:t>fields</w:t>
      </w:r>
    </w:p>
    <w:p w:rsidR="00A336D7" w:rsidRDefault="00A336D7" w:rsidP="00A336D7">
      <w:pPr>
        <w:pStyle w:val="BodyText"/>
      </w:pPr>
      <w:r>
        <w:t>Any fields missing in the excel sheet? Any fields that should be removed? Any views on fields that should be mandatory or not?</w:t>
      </w:r>
      <w:r w:rsidR="009806A9">
        <w:t xml:space="preserve"> It is a vague and wide question, but we need to stabilize and agree on the details for the DCI.</w:t>
      </w:r>
    </w:p>
    <w:p w:rsidR="009B000B" w:rsidRDefault="002B1927" w:rsidP="00A336D7">
      <w:pPr>
        <w:pStyle w:val="BodyText"/>
      </w:pPr>
      <w:r>
        <w:t>Regarding</w:t>
      </w:r>
      <w:r w:rsidR="009B000B">
        <w:t xml:space="preserve"> the interpretation of the jointly encoded fields like </w:t>
      </w:r>
      <w:r w:rsidR="009B000B" w:rsidRPr="009B000B">
        <w:t>SRI/TRI/TPMI</w:t>
      </w:r>
      <w:r w:rsidR="009B000B">
        <w:t xml:space="preserve">, the multi-antenna session need to conclude (unless is </w:t>
      </w:r>
      <w:proofErr w:type="spellStart"/>
      <w:r w:rsidR="009B000B">
        <w:t>is</w:t>
      </w:r>
      <w:proofErr w:type="spellEnd"/>
      <w:r w:rsidR="009B000B">
        <w:t xml:space="preserve"> already concluded) but any views in this area are also welcome.</w:t>
      </w:r>
    </w:p>
    <w:p w:rsidR="00A336D7" w:rsidRDefault="00A336D7" w:rsidP="00A336D7">
      <w:pPr>
        <w:pStyle w:val="BodyText"/>
      </w:pPr>
    </w:p>
    <w:tbl>
      <w:tblPr>
        <w:tblStyle w:val="TableGrid"/>
        <w:tblW w:w="0" w:type="auto"/>
        <w:tblLook w:val="04A0" w:firstRow="1" w:lastRow="0" w:firstColumn="1" w:lastColumn="0" w:noHBand="0" w:noVBand="1"/>
      </w:tblPr>
      <w:tblGrid>
        <w:gridCol w:w="1960"/>
        <w:gridCol w:w="7102"/>
      </w:tblGrid>
      <w:tr w:rsidR="00A336D7" w:rsidTr="00D65D38">
        <w:tc>
          <w:tcPr>
            <w:tcW w:w="1960" w:type="dxa"/>
            <w:shd w:val="clear" w:color="auto" w:fill="F2F2F2" w:themeFill="background1" w:themeFillShade="F2"/>
          </w:tcPr>
          <w:p w:rsidR="00A336D7" w:rsidRDefault="00A336D7" w:rsidP="00D63556">
            <w:pPr>
              <w:pStyle w:val="BodyText"/>
            </w:pPr>
            <w:r>
              <w:t>Company</w:t>
            </w:r>
          </w:p>
        </w:tc>
        <w:tc>
          <w:tcPr>
            <w:tcW w:w="7102" w:type="dxa"/>
            <w:shd w:val="clear" w:color="auto" w:fill="F2F2F2" w:themeFill="background1" w:themeFillShade="F2"/>
          </w:tcPr>
          <w:p w:rsidR="00A336D7" w:rsidRDefault="00A336D7" w:rsidP="00D63556">
            <w:pPr>
              <w:pStyle w:val="BodyText"/>
            </w:pPr>
            <w:r>
              <w:t>Comment</w:t>
            </w:r>
          </w:p>
        </w:tc>
      </w:tr>
      <w:tr w:rsidR="00A14F93" w:rsidTr="00D65D38">
        <w:tc>
          <w:tcPr>
            <w:tcW w:w="1960" w:type="dxa"/>
          </w:tcPr>
          <w:p w:rsidR="00A14F93" w:rsidRDefault="00A14F93" w:rsidP="00A14F93">
            <w:pPr>
              <w:pStyle w:val="BodyText"/>
            </w:pPr>
            <w:r>
              <w:rPr>
                <w:rFonts w:eastAsia="Malgun Gothic" w:hint="eastAsia"/>
                <w:lang w:eastAsia="ko-KR"/>
              </w:rPr>
              <w:t>Samsung</w:t>
            </w:r>
          </w:p>
        </w:tc>
        <w:tc>
          <w:tcPr>
            <w:tcW w:w="7102" w:type="dxa"/>
          </w:tcPr>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C1) BWP (de)activation field (for both DL and UL)</w:t>
            </w:r>
          </w:p>
          <w:p w:rsidR="00A14F93" w:rsidRDefault="00A14F93" w:rsidP="00A14F93">
            <w:pPr>
              <w:pStyle w:val="BodyText"/>
              <w:rPr>
                <w:rFonts w:eastAsia="Malgun Gothic"/>
                <w:lang w:eastAsia="ko-KR"/>
              </w:rPr>
            </w:pPr>
            <w:r>
              <w:rPr>
                <w:rFonts w:eastAsia="Malgun Gothic" w:hint="eastAsia"/>
                <w:lang w:eastAsia="ko-KR"/>
              </w:rPr>
              <w:lastRenderedPageBreak/>
              <w:t>- It is agreed that is BWP (de)activation indicator is included in scheduling DCI. Please refer to following agreement.</w:t>
            </w:r>
          </w:p>
          <w:tbl>
            <w:tblPr>
              <w:tblStyle w:val="TableGrid"/>
              <w:tblW w:w="0" w:type="auto"/>
              <w:tblLook w:val="04A0" w:firstRow="1" w:lastRow="0" w:firstColumn="1" w:lastColumn="0" w:noHBand="0" w:noVBand="1"/>
            </w:tblPr>
            <w:tblGrid>
              <w:gridCol w:w="6709"/>
            </w:tblGrid>
            <w:tr w:rsidR="00A14F93" w:rsidTr="00B15DBE">
              <w:tc>
                <w:tcPr>
                  <w:tcW w:w="6709" w:type="dxa"/>
                </w:tcPr>
                <w:p w:rsidR="00A14F93" w:rsidRPr="007F4D83" w:rsidRDefault="00A14F93" w:rsidP="00A14F93">
                  <w:pPr>
                    <w:ind w:left="1440" w:hanging="1440"/>
                    <w:rPr>
                      <w:rFonts w:ascii="Times" w:hAnsi="Times"/>
                      <w:szCs w:val="20"/>
                      <w:lang w:val="en-GB" w:eastAsia="x-none"/>
                    </w:rPr>
                  </w:pPr>
                  <w:r>
                    <w:rPr>
                      <w:rFonts w:ascii="Times" w:hAnsi="Times" w:hint="eastAsia"/>
                      <w:szCs w:val="20"/>
                      <w:highlight w:val="green"/>
                      <w:lang w:val="en-GB" w:eastAsia="ko-KR"/>
                    </w:rPr>
                    <w:t xml:space="preserve">RAN1#90bis </w:t>
                  </w:r>
                  <w:r w:rsidRPr="007F4D83">
                    <w:rPr>
                      <w:rFonts w:ascii="Times" w:hAnsi="Times"/>
                      <w:szCs w:val="20"/>
                      <w:highlight w:val="green"/>
                      <w:lang w:val="en-GB" w:eastAsia="x-none"/>
                    </w:rPr>
                    <w:t>Agreements</w:t>
                  </w:r>
                  <w:r w:rsidRPr="007F4D83">
                    <w:rPr>
                      <w:rFonts w:ascii="Times" w:hAnsi="Times"/>
                      <w:szCs w:val="20"/>
                      <w:lang w:val="en-GB" w:eastAsia="x-none"/>
                    </w:rPr>
                    <w:t>:</w:t>
                  </w:r>
                </w:p>
                <w:p w:rsidR="00A14F93" w:rsidRPr="007F4D83" w:rsidRDefault="00A14F93" w:rsidP="00A14F93">
                  <w:pPr>
                    <w:numPr>
                      <w:ilvl w:val="0"/>
                      <w:numId w:val="41"/>
                    </w:numPr>
                    <w:rPr>
                      <w:rFonts w:ascii="Times" w:hAnsi="Times"/>
                      <w:szCs w:val="20"/>
                      <w:lang w:val="en-GB"/>
                    </w:rPr>
                  </w:pPr>
                  <w:r w:rsidRPr="007F4D83">
                    <w:rPr>
                      <w:rFonts w:ascii="Times" w:hAnsi="Times"/>
                      <w:szCs w:val="20"/>
                      <w:lang w:val="en-GB"/>
                    </w:rPr>
                    <w:t>For paired spectrum, DL and UL BWPs are configured separately and independently in Rel-15 for each UE-specific serving cell for a UE</w:t>
                  </w:r>
                </w:p>
                <w:p w:rsidR="00A14F93" w:rsidRPr="007F4D83" w:rsidRDefault="00A14F93" w:rsidP="00A14F93">
                  <w:pPr>
                    <w:numPr>
                      <w:ilvl w:val="1"/>
                      <w:numId w:val="41"/>
                    </w:numPr>
                    <w:rPr>
                      <w:rFonts w:ascii="Times" w:hAnsi="Times"/>
                      <w:szCs w:val="20"/>
                      <w:lang w:val="en-GB"/>
                    </w:rPr>
                  </w:pPr>
                  <w:r w:rsidRPr="007F4D83">
                    <w:rPr>
                      <w:rFonts w:ascii="Times" w:hAnsi="Times"/>
                      <w:szCs w:val="20"/>
                      <w:lang w:val="en-GB"/>
                    </w:rPr>
                    <w:t>For active BWP switching using at least scheduling DCI, DCI for DL is used for DL active BWP switching and DCI for UL is used for UL active BWP switching</w:t>
                  </w:r>
                </w:p>
              </w:tc>
            </w:tr>
          </w:tbl>
          <w:p w:rsidR="00A14F93" w:rsidRDefault="00A14F93" w:rsidP="00A14F93">
            <w:pPr>
              <w:pStyle w:val="BodyText"/>
              <w:rPr>
                <w:rFonts w:eastAsia="Malgun Gothic"/>
                <w:lang w:eastAsia="ko-KR"/>
              </w:rPr>
            </w:pPr>
          </w:p>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C2) Time-domain resource allocation (for both DL and UL)</w:t>
            </w:r>
          </w:p>
          <w:p w:rsidR="00A14F93" w:rsidRDefault="00A14F93" w:rsidP="00A14F93">
            <w:pPr>
              <w:pStyle w:val="BodyText"/>
              <w:rPr>
                <w:rFonts w:eastAsia="Malgun Gothic"/>
                <w:lang w:eastAsia="ko-KR"/>
              </w:rPr>
            </w:pPr>
            <w:r>
              <w:rPr>
                <w:rFonts w:eastAsia="Malgun Gothic" w:hint="eastAsia"/>
                <w:lang w:eastAsia="ko-KR"/>
              </w:rPr>
              <w:t xml:space="preserve">- The field size should be re-considered. It is FFS whether slot index is </w:t>
            </w:r>
            <w:r>
              <w:rPr>
                <w:rFonts w:eastAsia="Malgun Gothic"/>
                <w:lang w:eastAsia="ko-KR"/>
              </w:rPr>
              <w:t xml:space="preserve">included or not. </w:t>
            </w:r>
            <w:r>
              <w:rPr>
                <w:rFonts w:eastAsia="Malgun Gothic" w:hint="eastAsia"/>
                <w:lang w:eastAsia="ko-KR"/>
              </w:rPr>
              <w:t>If slot index is included, 2-bit is insufficient and if not, additional field for slot indication is needed. We prefer to separate DCI field for symbol indication and slot indication.</w:t>
            </w:r>
          </w:p>
          <w:tbl>
            <w:tblPr>
              <w:tblStyle w:val="TableGrid"/>
              <w:tblW w:w="0" w:type="auto"/>
              <w:tblLook w:val="04A0" w:firstRow="1" w:lastRow="0" w:firstColumn="1" w:lastColumn="0" w:noHBand="0" w:noVBand="1"/>
            </w:tblPr>
            <w:tblGrid>
              <w:gridCol w:w="6709"/>
            </w:tblGrid>
            <w:tr w:rsidR="00A14F93" w:rsidTr="00B15DBE">
              <w:tc>
                <w:tcPr>
                  <w:tcW w:w="6709" w:type="dxa"/>
                </w:tcPr>
                <w:p w:rsidR="00A14F93" w:rsidRPr="007F4D83" w:rsidRDefault="00A14F93" w:rsidP="00A14F93">
                  <w:pPr>
                    <w:ind w:left="1440" w:hanging="1440"/>
                    <w:rPr>
                      <w:rFonts w:ascii="Times" w:hAnsi="Times"/>
                      <w:szCs w:val="20"/>
                      <w:lang w:val="en-GB" w:eastAsia="x-none"/>
                    </w:rPr>
                  </w:pPr>
                  <w:r>
                    <w:rPr>
                      <w:rFonts w:ascii="Times" w:hAnsi="Times" w:hint="eastAsia"/>
                      <w:szCs w:val="20"/>
                      <w:highlight w:val="green"/>
                      <w:lang w:val="en-GB" w:eastAsia="ko-KR"/>
                    </w:rPr>
                    <w:t xml:space="preserve">RAN1#90bis </w:t>
                  </w:r>
                  <w:r w:rsidRPr="007F4D83">
                    <w:rPr>
                      <w:rFonts w:ascii="Times" w:hAnsi="Times"/>
                      <w:szCs w:val="20"/>
                      <w:highlight w:val="green"/>
                      <w:lang w:val="en-GB" w:eastAsia="x-none"/>
                    </w:rPr>
                    <w:t>Agreements</w:t>
                  </w:r>
                  <w:r w:rsidRPr="007F4D83">
                    <w:rPr>
                      <w:rFonts w:ascii="Times" w:hAnsi="Times"/>
                      <w:szCs w:val="20"/>
                      <w:lang w:val="en-GB" w:eastAsia="x-none"/>
                    </w:rPr>
                    <w:t>:</w:t>
                  </w:r>
                </w:p>
                <w:p w:rsidR="00A14F93" w:rsidRPr="0040523A" w:rsidRDefault="00A14F93" w:rsidP="00A14F93">
                  <w:pPr>
                    <w:pStyle w:val="BodyText"/>
                    <w:numPr>
                      <w:ilvl w:val="0"/>
                      <w:numId w:val="42"/>
                    </w:numPr>
                    <w:spacing w:after="0"/>
                    <w:rPr>
                      <w:szCs w:val="20"/>
                    </w:rPr>
                  </w:pPr>
                  <w:r w:rsidRPr="0040523A">
                    <w:rPr>
                      <w:szCs w:val="20"/>
                    </w:rPr>
                    <w:t>For both slot and mini-slot, the scheduling DCI can provide an index into a UE-specific table giving the OFDM symbols used for the PDSCH (or PUSCH) transmission</w:t>
                  </w:r>
                </w:p>
                <w:p w:rsidR="00A14F93" w:rsidRPr="0040523A" w:rsidRDefault="00A14F93" w:rsidP="00A14F93">
                  <w:pPr>
                    <w:pStyle w:val="BodyText"/>
                    <w:numPr>
                      <w:ilvl w:val="1"/>
                      <w:numId w:val="42"/>
                    </w:numPr>
                    <w:spacing w:after="0"/>
                    <w:rPr>
                      <w:szCs w:val="20"/>
                    </w:rPr>
                  </w:pPr>
                  <w:r w:rsidRPr="0040523A">
                    <w:rPr>
                      <w:szCs w:val="20"/>
                    </w:rPr>
                    <w:t>starting OFDM symbol and length in OFDM symbols of the allocation</w:t>
                  </w:r>
                </w:p>
                <w:p w:rsidR="00A14F93" w:rsidRPr="007F4D83" w:rsidRDefault="00A14F93" w:rsidP="00A14F93">
                  <w:pPr>
                    <w:pStyle w:val="BodyText"/>
                    <w:numPr>
                      <w:ilvl w:val="1"/>
                      <w:numId w:val="42"/>
                    </w:numPr>
                    <w:spacing w:after="0"/>
                    <w:rPr>
                      <w:szCs w:val="20"/>
                    </w:rPr>
                  </w:pPr>
                  <w:r w:rsidRPr="0040523A">
                    <w:rPr>
                      <w:szCs w:val="20"/>
                    </w:rPr>
                    <w:t>FFS: including the slots used in case of multi-slot/multi-mini-slot scheduling or slot index for cross-slot scheduling</w:t>
                  </w:r>
                </w:p>
              </w:tc>
            </w:tr>
          </w:tbl>
          <w:p w:rsidR="00A14F93" w:rsidRDefault="00A14F93" w:rsidP="00A14F93">
            <w:pPr>
              <w:pStyle w:val="BodyText"/>
              <w:rPr>
                <w:rFonts w:eastAsia="Malgun Gothic"/>
                <w:lang w:eastAsia="ko-KR"/>
              </w:rPr>
            </w:pPr>
          </w:p>
          <w:p w:rsidR="00A14F93" w:rsidRDefault="00A14F93" w:rsidP="00A14F93">
            <w:pPr>
              <w:pStyle w:val="BodyText"/>
              <w:rPr>
                <w:rFonts w:eastAsia="Malgun Gothic"/>
                <w:b/>
                <w:u w:val="single"/>
                <w:lang w:eastAsia="ko-KR"/>
              </w:rPr>
            </w:pPr>
            <w:r w:rsidRPr="002A4285">
              <w:rPr>
                <w:rFonts w:eastAsia="Malgun Gothic" w:hint="eastAsia"/>
                <w:b/>
                <w:u w:val="single"/>
                <w:lang w:eastAsia="ko-KR"/>
              </w:rPr>
              <w:t>C3) Antenna port field (for both DL and UL)</w:t>
            </w:r>
          </w:p>
          <w:p w:rsidR="00A14F93" w:rsidRPr="002A4285" w:rsidRDefault="00A14F93" w:rsidP="00A14F93">
            <w:pPr>
              <w:pStyle w:val="BodyText"/>
              <w:rPr>
                <w:rFonts w:eastAsia="Malgun Gothic"/>
                <w:lang w:eastAsia="ko-KR"/>
              </w:rPr>
            </w:pPr>
            <w:r>
              <w:rPr>
                <w:rFonts w:eastAsia="Malgun Gothic" w:hint="eastAsia"/>
                <w:lang w:eastAsia="ko-KR"/>
              </w:rPr>
              <w:t>It is agreed that not only scheduled DMRS ports but also co-scheduled DMRS ports (for rate matching) is indicated by DCI. Please refer to below agreement. Therefore 2-bit size is not enough. Potential field size will be 5~6bits.</w:t>
            </w:r>
          </w:p>
          <w:tbl>
            <w:tblPr>
              <w:tblStyle w:val="TableGrid"/>
              <w:tblW w:w="0" w:type="auto"/>
              <w:tblLook w:val="04A0" w:firstRow="1" w:lastRow="0" w:firstColumn="1" w:lastColumn="0" w:noHBand="0" w:noVBand="1"/>
            </w:tblPr>
            <w:tblGrid>
              <w:gridCol w:w="6709"/>
            </w:tblGrid>
            <w:tr w:rsidR="00A14F93" w:rsidTr="00B15DBE">
              <w:tc>
                <w:tcPr>
                  <w:tcW w:w="6709" w:type="dxa"/>
                </w:tcPr>
                <w:p w:rsidR="00A14F93" w:rsidRPr="002A4285" w:rsidRDefault="00A14F93" w:rsidP="00A14F93">
                  <w:pPr>
                    <w:jc w:val="both"/>
                    <w:rPr>
                      <w:rFonts w:ascii="Times" w:hAnsi="Times"/>
                      <w:szCs w:val="20"/>
                      <w:lang w:val="en-GB" w:eastAsia="ko-KR"/>
                    </w:rPr>
                  </w:pPr>
                  <w:r w:rsidRPr="002A4285">
                    <w:rPr>
                      <w:rFonts w:ascii="Times" w:hAnsi="Times" w:hint="eastAsia"/>
                      <w:szCs w:val="20"/>
                      <w:highlight w:val="green"/>
                      <w:lang w:val="en-GB" w:eastAsia="ko-KR"/>
                    </w:rPr>
                    <w:t xml:space="preserve">RAN1#90bis </w:t>
                  </w:r>
                  <w:r w:rsidRPr="002A4285">
                    <w:rPr>
                      <w:rFonts w:ascii="Times" w:hAnsi="Times"/>
                      <w:szCs w:val="20"/>
                      <w:highlight w:val="green"/>
                      <w:lang w:val="en-GB" w:eastAsia="ko-KR"/>
                    </w:rPr>
                    <w:t>Agreement:</w:t>
                  </w:r>
                </w:p>
                <w:p w:rsidR="00A14F93" w:rsidRPr="002A4285" w:rsidRDefault="00A14F93" w:rsidP="00A14F93">
                  <w:pPr>
                    <w:jc w:val="both"/>
                    <w:rPr>
                      <w:rFonts w:ascii="Times" w:hAnsi="Times"/>
                      <w:szCs w:val="20"/>
                      <w:lang w:val="en-GB" w:eastAsia="ko-KR"/>
                    </w:rPr>
                  </w:pPr>
                  <w:r w:rsidRPr="002A4285">
                    <w:rPr>
                      <w:rFonts w:ascii="Times" w:hAnsi="Times"/>
                      <w:szCs w:val="20"/>
                      <w:lang w:val="en-GB" w:eastAsia="ko-KR"/>
                    </w:rPr>
                    <w:t>At least the following information is included in DCI as part of downlink DMRS port assignment:</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Scheduled downlink DMRS ports</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Potential presence of co-scheduled downlink DMRS CDM groups for rate matching</w:t>
                  </w:r>
                </w:p>
                <w:p w:rsidR="00A14F93" w:rsidRPr="002A4285" w:rsidRDefault="00A14F93" w:rsidP="00A14F93">
                  <w:pPr>
                    <w:numPr>
                      <w:ilvl w:val="1"/>
                      <w:numId w:val="43"/>
                    </w:numPr>
                    <w:jc w:val="both"/>
                    <w:rPr>
                      <w:rFonts w:ascii="Times" w:hAnsi="Times"/>
                      <w:szCs w:val="20"/>
                      <w:lang w:val="en-GB" w:eastAsia="ko-KR"/>
                    </w:rPr>
                  </w:pPr>
                  <w:r w:rsidRPr="002A4285">
                    <w:rPr>
                      <w:rFonts w:ascii="Times" w:hAnsi="Times"/>
                      <w:szCs w:val="20"/>
                      <w:lang w:val="en-GB" w:eastAsia="ko-KR"/>
                    </w:rPr>
                    <w:t>FFS: Whether the presence of co-scheduled downlink DMRS port(s) within the assigned downlink DMRS CDM group is supported or not</w:t>
                  </w:r>
                </w:p>
                <w:p w:rsidR="00A14F93" w:rsidRPr="002A4285" w:rsidRDefault="00A14F93" w:rsidP="00A14F93">
                  <w:pPr>
                    <w:numPr>
                      <w:ilvl w:val="1"/>
                      <w:numId w:val="43"/>
                    </w:numPr>
                    <w:jc w:val="both"/>
                    <w:rPr>
                      <w:rFonts w:ascii="Times" w:hAnsi="Times"/>
                      <w:szCs w:val="20"/>
                      <w:lang w:val="en-GB" w:eastAsia="ko-KR"/>
                    </w:rPr>
                  </w:pPr>
                  <w:r w:rsidRPr="002A4285">
                    <w:rPr>
                      <w:rFonts w:ascii="Times" w:hAnsi="Times"/>
                      <w:szCs w:val="20"/>
                      <w:lang w:val="en-GB" w:eastAsia="ko-KR"/>
                    </w:rPr>
                    <w:t>There are no dedicated bits for rate matching around DMRS CDM group(s)</w:t>
                  </w:r>
                </w:p>
                <w:p w:rsidR="00A14F93" w:rsidRPr="002A4285" w:rsidRDefault="00A14F93" w:rsidP="00A14F93">
                  <w:pPr>
                    <w:jc w:val="both"/>
                    <w:rPr>
                      <w:rFonts w:ascii="Times" w:hAnsi="Times"/>
                      <w:szCs w:val="20"/>
                      <w:lang w:val="en-GB" w:eastAsia="ko-KR"/>
                    </w:rPr>
                  </w:pPr>
                  <w:r w:rsidRPr="002A4285">
                    <w:rPr>
                      <w:rFonts w:ascii="Times" w:hAnsi="Times"/>
                      <w:szCs w:val="20"/>
                      <w:lang w:val="en-GB" w:eastAsia="ko-KR"/>
                    </w:rPr>
                    <w:t>At least the following information is included in DCI as part of uplink DMRS port assignment for CP-OFDM:</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Scheduled uplink DMRS ports</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Uplink DMRS CDM groups for rate matching</w:t>
                  </w:r>
                </w:p>
                <w:p w:rsidR="00A14F93" w:rsidRPr="002A4285" w:rsidRDefault="00A14F93" w:rsidP="00A14F93">
                  <w:pPr>
                    <w:numPr>
                      <w:ilvl w:val="1"/>
                      <w:numId w:val="43"/>
                    </w:numPr>
                    <w:jc w:val="both"/>
                    <w:rPr>
                      <w:rFonts w:eastAsia="Malgun Gothic"/>
                      <w:lang w:val="en-GB" w:eastAsia="ko-KR"/>
                    </w:rPr>
                  </w:pPr>
                  <w:r w:rsidRPr="002A4285">
                    <w:rPr>
                      <w:rFonts w:ascii="Times" w:hAnsi="Times"/>
                      <w:szCs w:val="20"/>
                      <w:lang w:val="en-GB" w:eastAsia="ko-KR"/>
                    </w:rPr>
                    <w:t>There are no dedicated bits for rate matching around DMRS CDM group(s)</w:t>
                  </w:r>
                </w:p>
              </w:tc>
            </w:tr>
          </w:tbl>
          <w:p w:rsidR="00A14F93" w:rsidRDefault="00A14F93" w:rsidP="00A14F93">
            <w:pPr>
              <w:pStyle w:val="BodyText"/>
              <w:rPr>
                <w:rFonts w:eastAsia="Malgun Gothic"/>
                <w:lang w:eastAsia="ko-KR"/>
              </w:rPr>
            </w:pPr>
          </w:p>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C4) CSI request field (for DL)</w:t>
            </w:r>
          </w:p>
          <w:p w:rsidR="00A14F93" w:rsidRPr="007F4D83" w:rsidRDefault="00A14F93" w:rsidP="00A14F93">
            <w:pPr>
              <w:pStyle w:val="BodyText"/>
              <w:rPr>
                <w:rFonts w:eastAsia="Malgun Gothic"/>
                <w:lang w:eastAsia="ko-KR"/>
              </w:rPr>
            </w:pPr>
            <w:r>
              <w:rPr>
                <w:rFonts w:eastAsia="Malgun Gothic" w:hint="eastAsia"/>
                <w:lang w:eastAsia="ko-KR"/>
              </w:rPr>
              <w:t>- It is not agreed yet to include CSI request field in DL DCI.</w:t>
            </w:r>
          </w:p>
          <w:p w:rsidR="00A14F93" w:rsidRDefault="00A14F93" w:rsidP="00A14F93">
            <w:pPr>
              <w:pStyle w:val="BodyText"/>
              <w:rPr>
                <w:rFonts w:eastAsia="Malgun Gothic"/>
                <w:lang w:eastAsia="ko-KR"/>
              </w:rPr>
            </w:pPr>
          </w:p>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w:t>
            </w:r>
            <w:r>
              <w:rPr>
                <w:rFonts w:eastAsia="Malgun Gothic" w:hint="eastAsia"/>
                <w:b/>
                <w:u w:val="single"/>
                <w:lang w:eastAsia="ko-KR"/>
              </w:rPr>
              <w:t>5)</w:t>
            </w:r>
            <w:r w:rsidRPr="002A4285">
              <w:rPr>
                <w:rFonts w:eastAsia="Malgun Gothic" w:hint="eastAsia"/>
                <w:b/>
                <w:u w:val="single"/>
                <w:lang w:eastAsia="ko-KR"/>
              </w:rPr>
              <w:t xml:space="preserve"> </w:t>
            </w:r>
            <w:r>
              <w:rPr>
                <w:rFonts w:eastAsia="Malgun Gothic" w:hint="eastAsia"/>
                <w:b/>
                <w:u w:val="single"/>
                <w:lang w:eastAsia="ko-KR"/>
              </w:rPr>
              <w:t>CRC length</w:t>
            </w:r>
          </w:p>
          <w:p w:rsidR="00A14F93" w:rsidRDefault="00A14F93" w:rsidP="00A14F93">
            <w:pPr>
              <w:pStyle w:val="BodyText"/>
              <w:rPr>
                <w:rFonts w:eastAsia="Malgun Gothic"/>
                <w:lang w:eastAsia="ko-KR"/>
              </w:rPr>
            </w:pPr>
            <w:r>
              <w:rPr>
                <w:rFonts w:eastAsia="Malgun Gothic" w:hint="eastAsia"/>
                <w:lang w:eastAsia="ko-KR"/>
              </w:rPr>
              <w:t>- CRC is 24-bit and RNTI is 16-bit. Please refer to below agreements.</w:t>
            </w:r>
          </w:p>
          <w:tbl>
            <w:tblPr>
              <w:tblStyle w:val="TableGrid"/>
              <w:tblW w:w="0" w:type="auto"/>
              <w:tblLook w:val="04A0" w:firstRow="1" w:lastRow="0" w:firstColumn="1" w:lastColumn="0" w:noHBand="0" w:noVBand="1"/>
            </w:tblPr>
            <w:tblGrid>
              <w:gridCol w:w="6876"/>
            </w:tblGrid>
            <w:tr w:rsidR="00A14F93" w:rsidTr="00B15DBE">
              <w:tc>
                <w:tcPr>
                  <w:tcW w:w="6709" w:type="dxa"/>
                </w:tcPr>
                <w:p w:rsidR="00A14F93" w:rsidRPr="00BE3F6E" w:rsidRDefault="00A14F93" w:rsidP="00A14F93">
                  <w:pPr>
                    <w:ind w:left="1440" w:hanging="1440"/>
                    <w:rPr>
                      <w:rFonts w:ascii="Times" w:eastAsia="MS Mincho" w:hAnsi="Times"/>
                      <w:b/>
                      <w:highlight w:val="darkYellow"/>
                      <w:u w:val="single"/>
                      <w:lang w:val="en-GB" w:eastAsia="ja-JP"/>
                    </w:rPr>
                  </w:pPr>
                  <w:r>
                    <w:rPr>
                      <w:rFonts w:ascii="Times" w:eastAsia="Malgun Gothic" w:hAnsi="Times" w:hint="eastAsia"/>
                      <w:b/>
                      <w:highlight w:val="darkYellow"/>
                      <w:u w:val="single"/>
                      <w:lang w:val="en-GB" w:eastAsia="ko-KR"/>
                    </w:rPr>
                    <w:t xml:space="preserve">RAN1#90 </w:t>
                  </w:r>
                  <w:r w:rsidRPr="00BE3F6E">
                    <w:rPr>
                      <w:rFonts w:ascii="Times" w:eastAsia="MS Mincho" w:hAnsi="Times"/>
                      <w:b/>
                      <w:highlight w:val="darkYellow"/>
                      <w:u w:val="single"/>
                      <w:lang w:val="en-GB" w:eastAsia="ja-JP"/>
                    </w:rPr>
                    <w:t xml:space="preserve">Working Assumption: </w:t>
                  </w:r>
                </w:p>
                <w:p w:rsidR="00A14F93" w:rsidRPr="00BE3F6E" w:rsidRDefault="00A14F93" w:rsidP="00A14F93">
                  <w:pPr>
                    <w:numPr>
                      <w:ilvl w:val="0"/>
                      <w:numId w:val="44"/>
                    </w:numPr>
                    <w:rPr>
                      <w:rFonts w:ascii="Times" w:eastAsia="MS Mincho" w:hAnsi="Times"/>
                      <w:lang w:val="en-GB" w:eastAsia="ja-JP"/>
                    </w:rPr>
                  </w:pPr>
                  <w:r w:rsidRPr="00BE3F6E">
                    <w:rPr>
                      <w:rFonts w:eastAsia="DengXian"/>
                      <w:szCs w:val="20"/>
                      <w:lang w:val="en-GB"/>
                    </w:rPr>
                    <w:lastRenderedPageBreak/>
                    <w:t>Denote the input to the CRC computation by</w:t>
                  </w:r>
                  <w:r w:rsidRPr="00BE3F6E">
                    <w:rPr>
                      <w:rFonts w:eastAsia="DengXian"/>
                      <w:i/>
                      <w:szCs w:val="20"/>
                      <w:lang w:val="en-GB"/>
                    </w:rPr>
                    <w:t xml:space="preserve"> u</w:t>
                  </w:r>
                  <w:r w:rsidRPr="00BE3F6E">
                    <w:rPr>
                      <w:rFonts w:eastAsia="DengXian"/>
                      <w:szCs w:val="20"/>
                      <w:vertAlign w:val="subscript"/>
                      <w:lang w:val="en-GB"/>
                    </w:rPr>
                    <w:t>0</w:t>
                  </w:r>
                  <w:r w:rsidRPr="00BE3F6E">
                    <w:rPr>
                      <w:rFonts w:eastAsia="DengXian"/>
                      <w:szCs w:val="20"/>
                      <w:lang w:val="en-GB"/>
                    </w:rPr>
                    <w:t>,</w:t>
                  </w:r>
                  <w:r w:rsidRPr="00BE3F6E">
                    <w:rPr>
                      <w:rFonts w:eastAsia="DengXian"/>
                      <w:i/>
                      <w:szCs w:val="20"/>
                      <w:lang w:val="en-GB"/>
                    </w:rPr>
                    <w:t xml:space="preserve"> u</w:t>
                  </w:r>
                  <w:r w:rsidRPr="00BE3F6E">
                    <w:rPr>
                      <w:rFonts w:eastAsia="DengXian"/>
                      <w:szCs w:val="20"/>
                      <w:vertAlign w:val="subscript"/>
                      <w:lang w:val="en-GB"/>
                    </w:rPr>
                    <w:t>1</w:t>
                  </w:r>
                  <w:r w:rsidRPr="00BE3F6E">
                    <w:rPr>
                      <w:rFonts w:eastAsia="DengXian"/>
                      <w:szCs w:val="20"/>
                      <w:lang w:val="en-GB"/>
                    </w:rPr>
                    <w:t>,</w:t>
                  </w:r>
                  <w:r w:rsidRPr="00BE3F6E">
                    <w:rPr>
                      <w:rFonts w:eastAsia="DengXian"/>
                      <w:i/>
                      <w:szCs w:val="20"/>
                      <w:lang w:val="en-GB"/>
                    </w:rPr>
                    <w:t xml:space="preserve"> u</w:t>
                  </w:r>
                  <w:r w:rsidRPr="00BE3F6E">
                    <w:rPr>
                      <w:rFonts w:eastAsia="DengXian"/>
                      <w:szCs w:val="20"/>
                      <w:vertAlign w:val="subscript"/>
                      <w:lang w:val="en-GB"/>
                    </w:rPr>
                    <w:t>2</w:t>
                  </w:r>
                  <w:r w:rsidRPr="00BE3F6E">
                    <w:rPr>
                      <w:rFonts w:eastAsia="DengXian"/>
                      <w:szCs w:val="20"/>
                      <w:lang w:val="en-GB"/>
                    </w:rPr>
                    <w:t>,</w:t>
                  </w:r>
                  <w:r w:rsidRPr="00BE3F6E">
                    <w:rPr>
                      <w:rFonts w:eastAsia="DengXian"/>
                      <w:i/>
                      <w:szCs w:val="20"/>
                      <w:lang w:val="en-GB"/>
                    </w:rPr>
                    <w:t xml:space="preserve"> </w:t>
                  </w:r>
                  <w:r w:rsidRPr="00BE3F6E">
                    <w:rPr>
                      <w:rFonts w:eastAsia="DengXian"/>
                      <w:szCs w:val="20"/>
                      <w:lang w:val="en-GB"/>
                    </w:rPr>
                    <w:t>…,</w:t>
                  </w:r>
                  <w:r w:rsidRPr="00BE3F6E">
                    <w:rPr>
                      <w:rFonts w:eastAsia="DengXian"/>
                      <w:i/>
                      <w:szCs w:val="20"/>
                      <w:lang w:val="en-GB"/>
                    </w:rPr>
                    <w:t xml:space="preserve"> u</w:t>
                  </w:r>
                  <w:r w:rsidRPr="00BE3F6E">
                    <w:rPr>
                      <w:rFonts w:eastAsia="DengXian"/>
                      <w:i/>
                      <w:szCs w:val="20"/>
                      <w:vertAlign w:val="subscript"/>
                      <w:lang w:val="en-GB"/>
                    </w:rPr>
                    <w:t>L</w:t>
                  </w:r>
                  <w:r w:rsidRPr="00BE3F6E">
                    <w:rPr>
                      <w:rFonts w:eastAsia="DengXian"/>
                      <w:szCs w:val="20"/>
                      <w:vertAlign w:val="subscript"/>
                      <w:lang w:val="en-GB"/>
                    </w:rPr>
                    <w:t>-1</w:t>
                  </w:r>
                  <w:r w:rsidRPr="00BE3F6E">
                    <w:rPr>
                      <w:rFonts w:eastAsia="DengXian"/>
                      <w:szCs w:val="20"/>
                      <w:lang w:val="en-GB"/>
                    </w:rPr>
                    <w:t>, and the parity bits by</w:t>
                  </w:r>
                  <w:r w:rsidRPr="00BE3F6E">
                    <w:rPr>
                      <w:rFonts w:eastAsia="DengXian"/>
                      <w:i/>
                      <w:szCs w:val="20"/>
                      <w:lang w:val="en-GB"/>
                    </w:rPr>
                    <w:t xml:space="preserve"> p</w:t>
                  </w:r>
                  <w:r w:rsidRPr="00BE3F6E">
                    <w:rPr>
                      <w:rFonts w:eastAsia="DengXian"/>
                      <w:szCs w:val="20"/>
                      <w:vertAlign w:val="subscript"/>
                      <w:lang w:val="en-GB"/>
                    </w:rPr>
                    <w:t>0</w:t>
                  </w:r>
                  <w:r w:rsidRPr="00BE3F6E">
                    <w:rPr>
                      <w:rFonts w:eastAsia="DengXian"/>
                      <w:szCs w:val="20"/>
                      <w:lang w:val="en-GB"/>
                    </w:rPr>
                    <w:t>,</w:t>
                  </w:r>
                  <w:r w:rsidRPr="00BE3F6E">
                    <w:rPr>
                      <w:rFonts w:eastAsia="DengXian"/>
                      <w:i/>
                      <w:szCs w:val="20"/>
                      <w:lang w:val="en-GB"/>
                    </w:rPr>
                    <w:t xml:space="preserve"> p</w:t>
                  </w:r>
                  <w:r w:rsidRPr="00BE3F6E">
                    <w:rPr>
                      <w:rFonts w:eastAsia="DengXian"/>
                      <w:szCs w:val="20"/>
                      <w:vertAlign w:val="subscript"/>
                      <w:lang w:val="en-GB"/>
                    </w:rPr>
                    <w:t>1</w:t>
                  </w:r>
                  <w:r w:rsidRPr="00BE3F6E">
                    <w:rPr>
                      <w:rFonts w:eastAsia="DengXian"/>
                      <w:szCs w:val="20"/>
                      <w:lang w:val="en-GB"/>
                    </w:rPr>
                    <w:t>,</w:t>
                  </w:r>
                  <w:r w:rsidRPr="00BE3F6E">
                    <w:rPr>
                      <w:rFonts w:eastAsia="DengXian"/>
                      <w:i/>
                      <w:szCs w:val="20"/>
                      <w:lang w:val="en-GB"/>
                    </w:rPr>
                    <w:t xml:space="preserve"> p</w:t>
                  </w:r>
                  <w:r w:rsidRPr="00BE3F6E">
                    <w:rPr>
                      <w:rFonts w:eastAsia="DengXian"/>
                      <w:szCs w:val="20"/>
                      <w:vertAlign w:val="subscript"/>
                      <w:lang w:val="en-GB"/>
                    </w:rPr>
                    <w:t>2</w:t>
                  </w:r>
                  <w:r w:rsidRPr="00BE3F6E">
                    <w:rPr>
                      <w:rFonts w:eastAsia="DengXian"/>
                      <w:szCs w:val="20"/>
                      <w:lang w:val="en-GB"/>
                    </w:rPr>
                    <w:t>,</w:t>
                  </w:r>
                  <w:r w:rsidRPr="00BE3F6E">
                    <w:rPr>
                      <w:rFonts w:eastAsia="DengXian"/>
                      <w:i/>
                      <w:szCs w:val="20"/>
                      <w:lang w:val="en-GB"/>
                    </w:rPr>
                    <w:t xml:space="preserve"> </w:t>
                  </w:r>
                  <w:r w:rsidRPr="00BE3F6E">
                    <w:rPr>
                      <w:rFonts w:eastAsia="DengXian"/>
                      <w:szCs w:val="20"/>
                      <w:lang w:val="en-GB"/>
                    </w:rPr>
                    <w:t>…,</w:t>
                  </w:r>
                  <w:r w:rsidRPr="00BE3F6E">
                    <w:rPr>
                      <w:rFonts w:eastAsia="DengXian"/>
                      <w:i/>
                      <w:szCs w:val="20"/>
                      <w:lang w:val="en-GB"/>
                    </w:rPr>
                    <w:t xml:space="preserve"> p</w:t>
                  </w:r>
                  <w:r w:rsidRPr="00BE3F6E">
                    <w:rPr>
                      <w:rFonts w:eastAsia="DengXian"/>
                      <w:szCs w:val="20"/>
                      <w:vertAlign w:val="subscript"/>
                      <w:lang w:val="en-GB"/>
                    </w:rPr>
                    <w:t>23</w:t>
                  </w:r>
                  <w:r w:rsidRPr="00BE3F6E">
                    <w:rPr>
                      <w:rFonts w:eastAsia="DengXian"/>
                      <w:szCs w:val="20"/>
                      <w:lang w:val="en-GB"/>
                    </w:rPr>
                    <w:t xml:space="preserve">. </w:t>
                  </w:r>
                  <w:proofErr w:type="gramStart"/>
                  <w:r w:rsidRPr="00BE3F6E">
                    <w:rPr>
                      <w:rFonts w:ascii="Times" w:eastAsia="MS Mincho" w:hAnsi="Times"/>
                      <w:lang w:val="en-GB" w:eastAsia="ja-JP"/>
                    </w:rPr>
                    <w:t>The parity bits are generated by the following cyclic generator polynomial</w:t>
                  </w:r>
                  <w:proofErr w:type="gramEnd"/>
                  <w:r w:rsidRPr="00BE3F6E">
                    <w:rPr>
                      <w:rFonts w:ascii="Times" w:eastAsia="MS Mincho" w:hAnsi="Times"/>
                      <w:lang w:val="en-GB" w:eastAsia="ja-JP"/>
                    </w:rPr>
                    <w:t>:</w:t>
                  </w:r>
                </w:p>
                <w:p w:rsidR="00A14F93" w:rsidRPr="001D309A" w:rsidRDefault="00A14F93" w:rsidP="00A14F93">
                  <w:pPr>
                    <w:numPr>
                      <w:ilvl w:val="1"/>
                      <w:numId w:val="44"/>
                    </w:numPr>
                    <w:rPr>
                      <w:rFonts w:ascii="Times" w:eastAsia="MS Mincho" w:hAnsi="Times"/>
                      <w:lang w:val="en-GB" w:eastAsia="ja-JP"/>
                    </w:rPr>
                  </w:pPr>
                  <w:r w:rsidRPr="00BE3F6E">
                    <w:rPr>
                      <w:rFonts w:ascii="Times" w:eastAsia="MS Mincho" w:hAnsi="Times"/>
                      <w:lang w:val="en-GB" w:eastAsia="ja-JP"/>
                    </w:rPr>
                    <w:t>gCRC24(D) = [D24+D23+D21+D20+D17+D15+D13+D12+D8+D4+D2+D+1]</w:t>
                  </w:r>
                </w:p>
                <w:p w:rsidR="00A14F93" w:rsidRPr="00697CDB" w:rsidRDefault="00A14F93" w:rsidP="00A14F93">
                  <w:pPr>
                    <w:rPr>
                      <w:rFonts w:eastAsia="MS Mincho"/>
                      <w:b/>
                      <w:highlight w:val="green"/>
                      <w:u w:val="single"/>
                      <w:lang w:eastAsia="ja-JP"/>
                    </w:rPr>
                  </w:pPr>
                  <w:r>
                    <w:rPr>
                      <w:rFonts w:eastAsia="Malgun Gothic" w:hint="eastAsia"/>
                      <w:b/>
                      <w:highlight w:val="green"/>
                      <w:u w:val="single"/>
                      <w:lang w:eastAsia="ko-KR"/>
                    </w:rPr>
                    <w:t xml:space="preserve">RAN1#90bis </w:t>
                  </w:r>
                  <w:r w:rsidRPr="00697CDB">
                    <w:rPr>
                      <w:rFonts w:eastAsia="MS Mincho"/>
                      <w:b/>
                      <w:highlight w:val="green"/>
                      <w:u w:val="single"/>
                      <w:lang w:eastAsia="ja-JP"/>
                    </w:rPr>
                    <w:t xml:space="preserve">Agreement: </w:t>
                  </w:r>
                </w:p>
                <w:p w:rsidR="00A14F93" w:rsidRDefault="00A14F93" w:rsidP="00A14F93">
                  <w:pPr>
                    <w:numPr>
                      <w:ilvl w:val="0"/>
                      <w:numId w:val="45"/>
                    </w:numPr>
                    <w:rPr>
                      <w:rFonts w:eastAsia="MS Mincho"/>
                      <w:lang w:eastAsia="ja-JP"/>
                    </w:rPr>
                  </w:pPr>
                  <w:r>
                    <w:rPr>
                      <w:rFonts w:eastAsia="MS Mincho"/>
                      <w:lang w:eastAsia="ja-JP"/>
                    </w:rPr>
                    <w:t>RNTI is masked onto the last N</w:t>
                  </w:r>
                  <w:r w:rsidRPr="005703A6">
                    <w:rPr>
                      <w:rFonts w:eastAsia="MS Mincho"/>
                      <w:vertAlign w:val="subscript"/>
                      <w:lang w:eastAsia="ja-JP"/>
                    </w:rPr>
                    <w:t>RNTI</w:t>
                  </w:r>
                  <w:r>
                    <w:rPr>
                      <w:rFonts w:eastAsia="MS Mincho"/>
                      <w:lang w:eastAsia="ja-JP"/>
                    </w:rPr>
                    <w:t xml:space="preserve"> CRC bits on the PDCCH, where N</w:t>
                  </w:r>
                  <w:r w:rsidRPr="005703A6">
                    <w:rPr>
                      <w:rFonts w:eastAsia="MS Mincho"/>
                      <w:vertAlign w:val="subscript"/>
                      <w:lang w:eastAsia="ja-JP"/>
                    </w:rPr>
                    <w:t>RNTI</w:t>
                  </w:r>
                  <w:r>
                    <w:rPr>
                      <w:rFonts w:eastAsia="MS Mincho"/>
                      <w:lang w:eastAsia="ja-JP"/>
                    </w:rPr>
                    <w:t xml:space="preserve"> is the number of bits of the RNTI</w:t>
                  </w:r>
                </w:p>
                <w:p w:rsidR="00A14F93" w:rsidRPr="001D309A" w:rsidRDefault="00A14F93" w:rsidP="00A14F93">
                  <w:pPr>
                    <w:numPr>
                      <w:ilvl w:val="0"/>
                      <w:numId w:val="45"/>
                    </w:numPr>
                    <w:rPr>
                      <w:rFonts w:eastAsia="MS Mincho"/>
                      <w:lang w:eastAsia="ja-JP"/>
                    </w:rPr>
                  </w:pPr>
                  <w:r>
                    <w:rPr>
                      <w:rFonts w:eastAsia="MS Mincho"/>
                      <w:lang w:eastAsia="ja-JP"/>
                    </w:rPr>
                    <w:t>Working Assumption that N</w:t>
                  </w:r>
                  <w:r w:rsidRPr="005703A6">
                    <w:rPr>
                      <w:rFonts w:eastAsia="MS Mincho"/>
                      <w:vertAlign w:val="subscript"/>
                      <w:lang w:eastAsia="ja-JP"/>
                    </w:rPr>
                    <w:t>RNTI</w:t>
                  </w:r>
                  <w:r>
                    <w:rPr>
                      <w:rFonts w:eastAsia="MS Mincho"/>
                      <w:lang w:eastAsia="ja-JP"/>
                    </w:rPr>
                    <w:t xml:space="preserve"> is 16 bits. </w:t>
                  </w:r>
                </w:p>
              </w:tc>
            </w:tr>
          </w:tbl>
          <w:p w:rsidR="00A14F93" w:rsidRDefault="00A14F93" w:rsidP="00A14F93">
            <w:pPr>
              <w:pStyle w:val="BodyText"/>
            </w:pPr>
          </w:p>
        </w:tc>
      </w:tr>
      <w:tr w:rsidR="00A14F93" w:rsidTr="00D65D38">
        <w:tc>
          <w:tcPr>
            <w:tcW w:w="1960" w:type="dxa"/>
          </w:tcPr>
          <w:p w:rsidR="00A14F93" w:rsidRDefault="00A14F93" w:rsidP="00A14F93">
            <w:pPr>
              <w:pStyle w:val="BodyText"/>
            </w:pPr>
            <w:r>
              <w:rPr>
                <w:rFonts w:hint="eastAsia"/>
                <w:lang w:eastAsia="ja-JP"/>
              </w:rPr>
              <w:lastRenderedPageBreak/>
              <w:t>NTT DOCOMO</w:t>
            </w:r>
          </w:p>
        </w:tc>
        <w:tc>
          <w:tcPr>
            <w:tcW w:w="7102" w:type="dxa"/>
          </w:tcPr>
          <w:p w:rsidR="00A14F93" w:rsidRDefault="00A14F93" w:rsidP="00A14F93">
            <w:pPr>
              <w:pStyle w:val="BodyText"/>
            </w:pPr>
            <w:r>
              <w:rPr>
                <w:rFonts w:hint="eastAsia"/>
                <w:lang w:eastAsia="ja-JP"/>
              </w:rPr>
              <w:t>On RNTI, it is still working assumption and a LS was sent to RAN2 asking their view. Better to wait for their input.</w:t>
            </w:r>
          </w:p>
        </w:tc>
      </w:tr>
    </w:tbl>
    <w:p w:rsidR="00A336D7" w:rsidRDefault="00A336D7" w:rsidP="00A336D7">
      <w:pPr>
        <w:pStyle w:val="BodyText"/>
      </w:pPr>
    </w:p>
    <w:p w:rsidR="00A336D7" w:rsidRDefault="00A336D7" w:rsidP="00A336D7">
      <w:pPr>
        <w:pStyle w:val="Heading1"/>
      </w:pPr>
      <w:r>
        <w:t>Other</w:t>
      </w:r>
    </w:p>
    <w:p w:rsidR="00A336D7" w:rsidRDefault="00A336D7" w:rsidP="00A336D7">
      <w:pPr>
        <w:pStyle w:val="BodyText"/>
      </w:pPr>
      <w:r>
        <w:t>Any other comments?</w:t>
      </w:r>
    </w:p>
    <w:p w:rsidR="00A336D7" w:rsidRDefault="00A336D7" w:rsidP="00A336D7">
      <w:pPr>
        <w:pStyle w:val="BodyText"/>
      </w:pPr>
    </w:p>
    <w:tbl>
      <w:tblPr>
        <w:tblStyle w:val="TableGrid"/>
        <w:tblW w:w="0" w:type="auto"/>
        <w:tblLook w:val="04A0" w:firstRow="1" w:lastRow="0" w:firstColumn="1" w:lastColumn="0" w:noHBand="0" w:noVBand="1"/>
      </w:tblPr>
      <w:tblGrid>
        <w:gridCol w:w="2122"/>
        <w:gridCol w:w="6940"/>
      </w:tblGrid>
      <w:tr w:rsidR="00A336D7" w:rsidTr="00D63556">
        <w:tc>
          <w:tcPr>
            <w:tcW w:w="2122" w:type="dxa"/>
            <w:shd w:val="clear" w:color="auto" w:fill="F2F2F2" w:themeFill="background1" w:themeFillShade="F2"/>
          </w:tcPr>
          <w:p w:rsidR="00A336D7" w:rsidRDefault="00A336D7" w:rsidP="00D63556">
            <w:pPr>
              <w:pStyle w:val="BodyText"/>
            </w:pPr>
            <w:r>
              <w:t>Company</w:t>
            </w:r>
          </w:p>
        </w:tc>
        <w:tc>
          <w:tcPr>
            <w:tcW w:w="6940" w:type="dxa"/>
            <w:shd w:val="clear" w:color="auto" w:fill="F2F2F2" w:themeFill="background1" w:themeFillShade="F2"/>
          </w:tcPr>
          <w:p w:rsidR="00A336D7" w:rsidRDefault="00A336D7" w:rsidP="00D63556">
            <w:pPr>
              <w:pStyle w:val="BodyText"/>
            </w:pPr>
            <w:r>
              <w:t>Comment</w:t>
            </w:r>
          </w:p>
        </w:tc>
      </w:tr>
      <w:tr w:rsidR="00A336D7" w:rsidTr="00D63556">
        <w:tc>
          <w:tcPr>
            <w:tcW w:w="2122" w:type="dxa"/>
          </w:tcPr>
          <w:p w:rsidR="00A336D7" w:rsidRDefault="00A336D7" w:rsidP="00D63556">
            <w:pPr>
              <w:pStyle w:val="BodyText"/>
            </w:pPr>
          </w:p>
        </w:tc>
        <w:tc>
          <w:tcPr>
            <w:tcW w:w="6940" w:type="dxa"/>
          </w:tcPr>
          <w:p w:rsidR="00A336D7" w:rsidRDefault="00A336D7" w:rsidP="00D63556">
            <w:pPr>
              <w:pStyle w:val="BodyText"/>
            </w:pPr>
          </w:p>
        </w:tc>
      </w:tr>
      <w:tr w:rsidR="00A336D7" w:rsidTr="00D63556">
        <w:tc>
          <w:tcPr>
            <w:tcW w:w="2122" w:type="dxa"/>
          </w:tcPr>
          <w:p w:rsidR="00A336D7" w:rsidRDefault="00A336D7" w:rsidP="00D63556">
            <w:pPr>
              <w:pStyle w:val="BodyText"/>
            </w:pPr>
          </w:p>
        </w:tc>
        <w:tc>
          <w:tcPr>
            <w:tcW w:w="6940" w:type="dxa"/>
          </w:tcPr>
          <w:p w:rsidR="00A336D7" w:rsidRDefault="00A336D7" w:rsidP="00D63556">
            <w:pPr>
              <w:pStyle w:val="BodyText"/>
            </w:pPr>
          </w:p>
        </w:tc>
      </w:tr>
    </w:tbl>
    <w:p w:rsidR="00A336D7" w:rsidRPr="00A336D7" w:rsidRDefault="00A336D7" w:rsidP="00A336D7">
      <w:pPr>
        <w:pStyle w:val="BodyText"/>
      </w:pPr>
    </w:p>
    <w:sectPr w:rsidR="00A336D7" w:rsidRPr="00A336D7"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B2B" w:rsidRDefault="00380B2B" w:rsidP="00896408">
      <w:r>
        <w:separator/>
      </w:r>
    </w:p>
  </w:endnote>
  <w:endnote w:type="continuationSeparator" w:id="0">
    <w:p w:rsidR="00380B2B" w:rsidRDefault="00380B2B"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B2B" w:rsidRDefault="00380B2B" w:rsidP="00896408">
      <w:r>
        <w:separator/>
      </w:r>
    </w:p>
  </w:footnote>
  <w:footnote w:type="continuationSeparator" w:id="0">
    <w:p w:rsidR="00380B2B" w:rsidRDefault="00380B2B"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37351"/>
    <w:multiLevelType w:val="hybridMultilevel"/>
    <w:tmpl w:val="9B6C0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8839C6"/>
    <w:multiLevelType w:val="hybridMultilevel"/>
    <w:tmpl w:val="F7729946"/>
    <w:lvl w:ilvl="0" w:tplc="3FA8830C">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9F3972"/>
    <w:multiLevelType w:val="hybridMultilevel"/>
    <w:tmpl w:val="0E60C7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2C41"/>
    <w:multiLevelType w:val="hybridMultilevel"/>
    <w:tmpl w:val="E4483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F65B5B"/>
    <w:multiLevelType w:val="hybridMultilevel"/>
    <w:tmpl w:val="FAE24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0C5166"/>
    <w:multiLevelType w:val="hybridMultilevel"/>
    <w:tmpl w:val="F1107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20833"/>
    <w:multiLevelType w:val="hybridMultilevel"/>
    <w:tmpl w:val="8A9C26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A560BC"/>
    <w:multiLevelType w:val="hybridMultilevel"/>
    <w:tmpl w:val="CC2436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740059"/>
    <w:multiLevelType w:val="hybridMultilevel"/>
    <w:tmpl w:val="4BE4C0FA"/>
    <w:lvl w:ilvl="0" w:tplc="348E90D8">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2"/>
  </w:num>
  <w:num w:numId="3">
    <w:abstractNumId w:val="5"/>
  </w:num>
  <w:num w:numId="4">
    <w:abstractNumId w:val="38"/>
  </w:num>
  <w:num w:numId="5">
    <w:abstractNumId w:val="35"/>
  </w:num>
  <w:num w:numId="6">
    <w:abstractNumId w:val="31"/>
  </w:num>
  <w:num w:numId="7">
    <w:abstractNumId w:val="37"/>
  </w:num>
  <w:num w:numId="8">
    <w:abstractNumId w:val="36"/>
  </w:num>
  <w:num w:numId="9">
    <w:abstractNumId w:val="15"/>
  </w:num>
  <w:num w:numId="10">
    <w:abstractNumId w:val="11"/>
  </w:num>
  <w:num w:numId="11">
    <w:abstractNumId w:val="24"/>
  </w:num>
  <w:num w:numId="12">
    <w:abstractNumId w:val="39"/>
  </w:num>
  <w:num w:numId="13">
    <w:abstractNumId w:val="10"/>
  </w:num>
  <w:num w:numId="14">
    <w:abstractNumId w:val="29"/>
  </w:num>
  <w:num w:numId="15">
    <w:abstractNumId w:val="34"/>
  </w:num>
  <w:num w:numId="16">
    <w:abstractNumId w:val="25"/>
  </w:num>
  <w:num w:numId="17">
    <w:abstractNumId w:val="6"/>
  </w:num>
  <w:num w:numId="18">
    <w:abstractNumId w:val="38"/>
  </w:num>
  <w:num w:numId="19">
    <w:abstractNumId w:val="38"/>
  </w:num>
  <w:num w:numId="20">
    <w:abstractNumId w:val="19"/>
  </w:num>
  <w:num w:numId="21">
    <w:abstractNumId w:val="16"/>
  </w:num>
  <w:num w:numId="22">
    <w:abstractNumId w:val="38"/>
  </w:num>
  <w:num w:numId="23">
    <w:abstractNumId w:val="28"/>
  </w:num>
  <w:num w:numId="24">
    <w:abstractNumId w:val="14"/>
  </w:num>
  <w:num w:numId="25">
    <w:abstractNumId w:val="1"/>
  </w:num>
  <w:num w:numId="26">
    <w:abstractNumId w:val="32"/>
  </w:num>
  <w:num w:numId="27">
    <w:abstractNumId w:val="8"/>
  </w:num>
  <w:num w:numId="28">
    <w:abstractNumId w:val="13"/>
  </w:num>
  <w:num w:numId="29">
    <w:abstractNumId w:val="38"/>
  </w:num>
  <w:num w:numId="30">
    <w:abstractNumId w:val="23"/>
  </w:num>
  <w:num w:numId="31">
    <w:abstractNumId w:val="18"/>
  </w:num>
  <w:num w:numId="32">
    <w:abstractNumId w:val="17"/>
  </w:num>
  <w:num w:numId="33">
    <w:abstractNumId w:val="33"/>
  </w:num>
  <w:num w:numId="34">
    <w:abstractNumId w:val="3"/>
  </w:num>
  <w:num w:numId="35">
    <w:abstractNumId w:val="2"/>
  </w:num>
  <w:num w:numId="36">
    <w:abstractNumId w:val="21"/>
  </w:num>
  <w:num w:numId="37">
    <w:abstractNumId w:val="4"/>
  </w:num>
  <w:num w:numId="38">
    <w:abstractNumId w:val="26"/>
  </w:num>
  <w:num w:numId="39">
    <w:abstractNumId w:val="12"/>
  </w:num>
  <w:num w:numId="40">
    <w:abstractNumId w:val="7"/>
  </w:num>
  <w:num w:numId="41">
    <w:abstractNumId w:val="30"/>
  </w:num>
  <w:num w:numId="42">
    <w:abstractNumId w:val="27"/>
  </w:num>
  <w:num w:numId="43">
    <w:abstractNumId w:val="20"/>
  </w:num>
  <w:num w:numId="44">
    <w:abstractNumId w:val="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1435"/>
    <w:rsid w:val="00024F13"/>
    <w:rsid w:val="000C5F12"/>
    <w:rsid w:val="000F5C39"/>
    <w:rsid w:val="000F6662"/>
    <w:rsid w:val="00106665"/>
    <w:rsid w:val="001372E8"/>
    <w:rsid w:val="0016633A"/>
    <w:rsid w:val="00172B21"/>
    <w:rsid w:val="001B64CA"/>
    <w:rsid w:val="001E2FED"/>
    <w:rsid w:val="001E5AFE"/>
    <w:rsid w:val="00236765"/>
    <w:rsid w:val="002553B4"/>
    <w:rsid w:val="00262FC3"/>
    <w:rsid w:val="0028065B"/>
    <w:rsid w:val="002829F5"/>
    <w:rsid w:val="00286B6D"/>
    <w:rsid w:val="002B0DDD"/>
    <w:rsid w:val="002B1927"/>
    <w:rsid w:val="002B1C42"/>
    <w:rsid w:val="002B59EF"/>
    <w:rsid w:val="002D263D"/>
    <w:rsid w:val="0033205D"/>
    <w:rsid w:val="00341942"/>
    <w:rsid w:val="0034475B"/>
    <w:rsid w:val="00365BA9"/>
    <w:rsid w:val="00365CE4"/>
    <w:rsid w:val="00380B2B"/>
    <w:rsid w:val="00393FEA"/>
    <w:rsid w:val="00400586"/>
    <w:rsid w:val="0048093F"/>
    <w:rsid w:val="004900B0"/>
    <w:rsid w:val="004A0C09"/>
    <w:rsid w:val="004C672E"/>
    <w:rsid w:val="004D7FE0"/>
    <w:rsid w:val="004E3043"/>
    <w:rsid w:val="004E6E11"/>
    <w:rsid w:val="004F430F"/>
    <w:rsid w:val="00504A5D"/>
    <w:rsid w:val="005053EA"/>
    <w:rsid w:val="00511208"/>
    <w:rsid w:val="005164F1"/>
    <w:rsid w:val="0052140E"/>
    <w:rsid w:val="0053186E"/>
    <w:rsid w:val="00544261"/>
    <w:rsid w:val="005514B5"/>
    <w:rsid w:val="005838EA"/>
    <w:rsid w:val="00585773"/>
    <w:rsid w:val="005C77FC"/>
    <w:rsid w:val="005D04D6"/>
    <w:rsid w:val="006029D9"/>
    <w:rsid w:val="00604D7E"/>
    <w:rsid w:val="00614513"/>
    <w:rsid w:val="006147DF"/>
    <w:rsid w:val="0063517D"/>
    <w:rsid w:val="00666BD1"/>
    <w:rsid w:val="0068782F"/>
    <w:rsid w:val="006A286A"/>
    <w:rsid w:val="006B21CA"/>
    <w:rsid w:val="006C7AB7"/>
    <w:rsid w:val="0078136E"/>
    <w:rsid w:val="00785910"/>
    <w:rsid w:val="007A4FC3"/>
    <w:rsid w:val="007C690E"/>
    <w:rsid w:val="007F5DBD"/>
    <w:rsid w:val="00802FBE"/>
    <w:rsid w:val="00820DF1"/>
    <w:rsid w:val="0085020E"/>
    <w:rsid w:val="00857E6D"/>
    <w:rsid w:val="00860E63"/>
    <w:rsid w:val="008855CA"/>
    <w:rsid w:val="00896408"/>
    <w:rsid w:val="008A0342"/>
    <w:rsid w:val="00900A98"/>
    <w:rsid w:val="00942F98"/>
    <w:rsid w:val="00945406"/>
    <w:rsid w:val="009770FF"/>
    <w:rsid w:val="009806A9"/>
    <w:rsid w:val="009A0611"/>
    <w:rsid w:val="009B000B"/>
    <w:rsid w:val="009B0734"/>
    <w:rsid w:val="009E46CD"/>
    <w:rsid w:val="009F7D8C"/>
    <w:rsid w:val="00A14F93"/>
    <w:rsid w:val="00A336D7"/>
    <w:rsid w:val="00A42CFD"/>
    <w:rsid w:val="00AA44C8"/>
    <w:rsid w:val="00AB1512"/>
    <w:rsid w:val="00AB5904"/>
    <w:rsid w:val="00AC5D2E"/>
    <w:rsid w:val="00AC643E"/>
    <w:rsid w:val="00B03ED8"/>
    <w:rsid w:val="00B1604D"/>
    <w:rsid w:val="00B368D9"/>
    <w:rsid w:val="00B5007A"/>
    <w:rsid w:val="00B715F8"/>
    <w:rsid w:val="00BB2430"/>
    <w:rsid w:val="00BB7B54"/>
    <w:rsid w:val="00BE4063"/>
    <w:rsid w:val="00C1560A"/>
    <w:rsid w:val="00C422E2"/>
    <w:rsid w:val="00C60FA1"/>
    <w:rsid w:val="00C62894"/>
    <w:rsid w:val="00C8496C"/>
    <w:rsid w:val="00CB5A40"/>
    <w:rsid w:val="00CC1CA7"/>
    <w:rsid w:val="00CD1737"/>
    <w:rsid w:val="00CD292B"/>
    <w:rsid w:val="00CE6CB0"/>
    <w:rsid w:val="00CE7B9C"/>
    <w:rsid w:val="00D03072"/>
    <w:rsid w:val="00D07C00"/>
    <w:rsid w:val="00D577BB"/>
    <w:rsid w:val="00D65D38"/>
    <w:rsid w:val="00D92AB5"/>
    <w:rsid w:val="00DB6ED2"/>
    <w:rsid w:val="00DD11CB"/>
    <w:rsid w:val="00DE1BAA"/>
    <w:rsid w:val="00E0358D"/>
    <w:rsid w:val="00E10C1F"/>
    <w:rsid w:val="00E20E32"/>
    <w:rsid w:val="00E2157C"/>
    <w:rsid w:val="00E25B87"/>
    <w:rsid w:val="00E30C81"/>
    <w:rsid w:val="00E33BAF"/>
    <w:rsid w:val="00E34104"/>
    <w:rsid w:val="00E73C4A"/>
    <w:rsid w:val="00EB26FB"/>
    <w:rsid w:val="00EC2F3D"/>
    <w:rsid w:val="00EE2EAD"/>
    <w:rsid w:val="00F346B4"/>
    <w:rsid w:val="00F618ED"/>
    <w:rsid w:val="00F74C55"/>
    <w:rsid w:val="00F81C1C"/>
    <w:rsid w:val="00F8504A"/>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AA2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customStyle="1" w:styleId="ListParagraphChar">
    <w:name w:val="List Paragraph Char"/>
    <w:aliases w:val="- Bullets Char,목록 단락 Char"/>
    <w:link w:val="ListParagraph"/>
    <w:uiPriority w:val="34"/>
    <w:qFormat/>
    <w:rsid w:val="000F5C39"/>
    <w:rPr>
      <w:rFonts w:ascii="Times New Roman"/>
      <w:sz w:val="20"/>
      <w:szCs w:val="24"/>
    </w:rPr>
  </w:style>
  <w:style w:type="paragraph" w:styleId="BalloonText">
    <w:name w:val="Balloon Text"/>
    <w:basedOn w:val="Normal"/>
    <w:link w:val="BalloonTextChar"/>
    <w:uiPriority w:val="99"/>
    <w:semiHidden/>
    <w:unhideWhenUsed/>
    <w:rsid w:val="00CD29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878012746">
      <w:bodyDiv w:val="1"/>
      <w:marLeft w:val="0"/>
      <w:marRight w:val="0"/>
      <w:marTop w:val="0"/>
      <w:marBottom w:val="0"/>
      <w:divBdr>
        <w:top w:val="none" w:sz="0" w:space="0" w:color="auto"/>
        <w:left w:val="none" w:sz="0" w:space="0" w:color="auto"/>
        <w:bottom w:val="none" w:sz="0" w:space="0" w:color="auto"/>
        <w:right w:val="none" w:sz="0" w:space="0" w:color="auto"/>
      </w:divBdr>
    </w:div>
    <w:div w:id="1207261177">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12719-C0CB-485F-BCCF-5A2DD80A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7622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2017-11-27T16:33:00Z</dcterms:created>
  <dcterms:modified xsi:type="dcterms:W3CDTF">2017-11-27T16:33:00Z</dcterms:modified>
</cp:coreProperties>
</file>